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rPr>
          <w:rFonts w:ascii="仿宋_GB2312" w:eastAsia="仿宋_GB2312" w:cs="仿宋_GB2312"/>
          <w:b/>
          <w:bCs/>
          <w:sz w:val="10"/>
          <w:szCs w:val="10"/>
        </w:rPr>
      </w:pPr>
      <w:bookmarkStart w:id="0" w:name="OLE_LINK2"/>
      <w:bookmarkStart w:id="1" w:name="OLE_LINK1"/>
      <w:r>
        <w:rPr>
          <w:rFonts w:hint="eastAsia" w:ascii="仿宋_GB2312" w:eastAsia="仿宋_GB2312" w:cs="仿宋_GB2312"/>
          <w:b/>
          <w:bCs/>
          <w:sz w:val="10"/>
          <w:szCs w:val="10"/>
        </w:rPr>
        <w:t xml:space="preserve">                                                          </w:t>
      </w:r>
    </w:p>
    <w:p>
      <w:pPr>
        <w:pStyle w:val="10"/>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0"/>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0"/>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0"/>
        <w:rPr>
          <w:rFonts w:hint="eastAsia" w:ascii="仿宋_GB2312" w:hAnsi="黑体" w:eastAsia="仿宋_GB2312" w:cs="仿宋_GB2312"/>
          <w:b/>
          <w:sz w:val="28"/>
          <w:szCs w:val="28"/>
        </w:rPr>
      </w:pPr>
    </w:p>
    <w:p>
      <w:pPr>
        <w:pStyle w:val="10"/>
        <w:ind w:left="2491" w:leftChars="524" w:hanging="1391" w:hangingChars="495"/>
        <w:rPr>
          <w:rFonts w:hint="eastAsia" w:ascii="仿宋_GB2312" w:hAnsi="黑体" w:eastAsia="仿宋_GB2312" w:cs="仿宋_GB2312"/>
          <w:b/>
          <w:sz w:val="28"/>
          <w:szCs w:val="28"/>
        </w:rPr>
      </w:pPr>
    </w:p>
    <w:p>
      <w:pPr>
        <w:pStyle w:val="10"/>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项目名称：</w:t>
      </w:r>
      <w:r>
        <w:rPr>
          <w:rFonts w:hint="eastAsia" w:ascii="仿宋_GB2312" w:hAnsi="仿宋" w:eastAsia="仿宋_GB2312" w:cstheme="minorEastAsia"/>
          <w:b/>
          <w:sz w:val="28"/>
          <w:szCs w:val="28"/>
          <w:lang w:eastAsia="zh-CN"/>
        </w:rPr>
        <w:t>防城港嘉乐城美陈设计方案</w:t>
      </w:r>
      <w:r>
        <w:rPr>
          <w:rFonts w:hint="eastAsia" w:ascii="仿宋_GB2312" w:hAnsi="仿宋" w:eastAsia="仿宋_GB2312" w:cstheme="minorEastAsia"/>
          <w:b/>
          <w:sz w:val="28"/>
          <w:szCs w:val="28"/>
        </w:rPr>
        <w:t>采购项目</w:t>
      </w:r>
    </w:p>
    <w:p>
      <w:pPr>
        <w:pStyle w:val="10"/>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 xml:space="preserve">发包单位：广西博览文化传媒有限公司 </w:t>
      </w:r>
    </w:p>
    <w:bookmarkEnd w:id="0"/>
    <w:bookmarkEnd w:id="1"/>
    <w:p>
      <w:pPr>
        <w:tabs>
          <w:tab w:val="left" w:pos="632"/>
        </w:tabs>
        <w:rPr>
          <w:rFonts w:ascii="仿宋_GB2312" w:eastAsia="仿宋_GB2312"/>
          <w:b/>
          <w:bCs/>
          <w:color w:val="000000"/>
          <w:sz w:val="36"/>
          <w:szCs w:val="36"/>
        </w:rPr>
      </w:pPr>
    </w:p>
    <w:p>
      <w:pPr>
        <w:tabs>
          <w:tab w:val="left" w:pos="632"/>
        </w:tabs>
        <w:jc w:val="center"/>
        <w:rPr>
          <w:rFonts w:ascii="仿宋_GB2312" w:eastAsia="仿宋_GB2312"/>
          <w:b/>
          <w:bCs/>
          <w:color w:val="000000"/>
          <w:sz w:val="36"/>
          <w:szCs w:val="36"/>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2019年</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磋商须知…………………………………………………………………………5</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方案设计制作要求………………………………………………………………9</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 ……………………………………………………</w:t>
      </w:r>
      <w:r>
        <w:rPr>
          <w:rFonts w:hint="eastAsia" w:ascii="仿宋_GB2312" w:hAnsi="宋体" w:eastAsia="仿宋_GB2312"/>
          <w:color w:val="000000"/>
          <w:szCs w:val="21"/>
          <w:lang w:val="en-US" w:eastAsia="zh-CN"/>
        </w:rPr>
        <w:t>10</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 ……………………………………………………………………………</w:t>
      </w:r>
      <w:r>
        <w:rPr>
          <w:rFonts w:hint="eastAsia" w:ascii="仿宋_GB2312" w:hAnsi="宋体" w:eastAsia="仿宋_GB2312"/>
          <w:color w:val="000000"/>
          <w:szCs w:val="21"/>
          <w:lang w:val="en-US" w:eastAsia="zh-CN"/>
        </w:rPr>
        <w:t>17</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spacing w:line="400" w:lineRule="exact"/>
        <w:contextualSpacing/>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spacing w:line="400" w:lineRule="exact"/>
        <w:ind w:firstLine="560" w:firstLineChars="200"/>
        <w:contextualSpacing/>
        <w:jc w:val="left"/>
        <w:rPr>
          <w:rFonts w:ascii="仿宋_GB2312" w:hAnsi="宋体" w:eastAsia="仿宋_GB2312"/>
          <w:color w:val="000000"/>
          <w:sz w:val="28"/>
          <w:szCs w:val="28"/>
        </w:rPr>
      </w:pPr>
    </w:p>
    <w:p>
      <w:pPr>
        <w:spacing w:line="400" w:lineRule="exact"/>
        <w:ind w:firstLine="560" w:firstLine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广西</w:t>
      </w:r>
      <w:r>
        <w:rPr>
          <w:rFonts w:hint="eastAsia" w:ascii="仿宋_GB2312" w:hAnsi="宋体" w:eastAsia="仿宋_GB2312"/>
          <w:color w:val="000000"/>
          <w:sz w:val="28"/>
          <w:szCs w:val="28"/>
          <w:lang w:eastAsia="zh-CN"/>
        </w:rPr>
        <w:t>博览文化传媒</w:t>
      </w:r>
      <w:r>
        <w:rPr>
          <w:rFonts w:hint="eastAsia" w:ascii="仿宋_GB2312" w:hAnsi="宋体" w:eastAsia="仿宋_GB2312"/>
          <w:color w:val="000000"/>
          <w:sz w:val="28"/>
          <w:szCs w:val="28"/>
        </w:rPr>
        <w:t>有限公司就</w:t>
      </w:r>
      <w:r>
        <w:rPr>
          <w:rFonts w:hint="eastAsia" w:ascii="仿宋_GB2312" w:eastAsia="仿宋_GB2312" w:hAnsiTheme="minorEastAsia" w:cstheme="minorEastAsia"/>
          <w:sz w:val="28"/>
          <w:szCs w:val="28"/>
          <w:u w:val="single"/>
        </w:rPr>
        <w:t>防城港嘉乐城美陈设计方案采购项目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spacing w:line="400" w:lineRule="exact"/>
        <w:ind w:firstLine="560" w:firstLine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一、项目名称：</w:t>
      </w:r>
      <w:r>
        <w:rPr>
          <w:rFonts w:hint="eastAsia" w:ascii="仿宋_GB2312" w:eastAsia="仿宋_GB2312" w:hAnsiTheme="minorEastAsia" w:cstheme="minorEastAsia"/>
          <w:sz w:val="28"/>
          <w:szCs w:val="28"/>
        </w:rPr>
        <w:t>防城港嘉乐城美陈设计方案采购项目</w:t>
      </w:r>
    </w:p>
    <w:p>
      <w:pPr>
        <w:spacing w:line="400" w:lineRule="exact"/>
        <w:ind w:firstLine="560" w:firstLineChars="200"/>
        <w:contextualSpacing/>
        <w:jc w:val="left"/>
        <w:rPr>
          <w:rFonts w:ascii="仿宋_GB2312" w:hAnsi="宋体" w:eastAsia="仿宋_GB2312"/>
          <w:sz w:val="28"/>
          <w:szCs w:val="28"/>
        </w:rPr>
      </w:pPr>
      <w:r>
        <w:rPr>
          <w:rFonts w:hint="eastAsia" w:ascii="仿宋_GB2312" w:hAnsi="宋体" w:eastAsia="仿宋_GB2312"/>
          <w:color w:val="000000"/>
          <w:sz w:val="28"/>
          <w:szCs w:val="28"/>
        </w:rPr>
        <w:t>二、竞标内容：</w:t>
      </w:r>
      <w:r>
        <w:rPr>
          <w:rFonts w:hint="eastAsia" w:ascii="仿宋_GB2312" w:eastAsia="仿宋_GB2312" w:hAnsiTheme="minorEastAsia" w:cstheme="minorEastAsia"/>
          <w:sz w:val="28"/>
          <w:szCs w:val="28"/>
        </w:rPr>
        <w:t>防城港嘉乐城美</w:t>
      </w:r>
      <w:r>
        <w:rPr>
          <w:rFonts w:hint="eastAsia" w:ascii="仿宋_GB2312" w:eastAsia="仿宋_GB2312" w:hAnsiTheme="minorEastAsia" w:cstheme="minorEastAsia"/>
          <w:sz w:val="28"/>
          <w:szCs w:val="28"/>
          <w:lang w:eastAsia="zh-CN"/>
        </w:rPr>
        <w:t>内部美陈、</w:t>
      </w:r>
      <w:r>
        <w:rPr>
          <w:rFonts w:hint="eastAsia" w:ascii="仿宋_GB2312" w:eastAsia="仿宋_GB2312" w:hAnsiTheme="minorEastAsia" w:cstheme="minorEastAsia"/>
          <w:sz w:val="28"/>
          <w:szCs w:val="28"/>
        </w:rPr>
        <w:t>氛围的营造</w:t>
      </w:r>
      <w:r>
        <w:rPr>
          <w:rFonts w:hint="eastAsia" w:ascii="仿宋_GB2312" w:eastAsia="仿宋_GB2312" w:hAnsiTheme="minorEastAsia" w:cstheme="minorEastAsia"/>
          <w:sz w:val="28"/>
          <w:szCs w:val="28"/>
          <w:lang w:eastAsia="zh-CN"/>
        </w:rPr>
        <w:t>及</w:t>
      </w:r>
      <w:r>
        <w:rPr>
          <w:rFonts w:hint="eastAsia" w:ascii="仿宋_GB2312" w:eastAsia="仿宋_GB2312" w:hAnsiTheme="minorEastAsia" w:cstheme="minorEastAsia"/>
          <w:sz w:val="28"/>
          <w:szCs w:val="28"/>
        </w:rPr>
        <w:t>具体的安装等。</w:t>
      </w:r>
    </w:p>
    <w:p>
      <w:pPr>
        <w:spacing w:line="400" w:lineRule="exact"/>
        <w:ind w:left="1121" w:leftChars="267" w:hanging="560" w:hangingChars="200"/>
        <w:contextualSpacing/>
        <w:jc w:val="left"/>
        <w:rPr>
          <w:rFonts w:ascii="仿宋_GB2312" w:hAnsi="宋体" w:eastAsia="仿宋_GB2312"/>
          <w:sz w:val="28"/>
          <w:szCs w:val="28"/>
        </w:rPr>
      </w:pPr>
      <w:r>
        <w:rPr>
          <w:rFonts w:hint="eastAsia" w:ascii="仿宋_GB2312" w:hAnsi="宋体" w:eastAsia="仿宋_GB2312"/>
          <w:sz w:val="28"/>
          <w:szCs w:val="28"/>
        </w:rPr>
        <w:t>三、竞标人资格</w:t>
      </w:r>
    </w:p>
    <w:p>
      <w:pPr>
        <w:spacing w:line="400" w:lineRule="exact"/>
        <w:ind w:firstLine="700" w:firstLineChars="25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1、投标人应具有独立法人资格和独立签订合同的权利，应为中华人民共和国境内注册的企业法人；</w:t>
      </w:r>
    </w:p>
    <w:p>
      <w:pPr>
        <w:spacing w:line="400" w:lineRule="exact"/>
        <w:ind w:firstLine="700" w:firstLineChars="25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2、经营范围必须涵盖所提供商品或服务的内容，且具有企业法人营业执照（须提供盖公章的复印件，原件备查）。</w:t>
      </w:r>
    </w:p>
    <w:p>
      <w:pPr>
        <w:spacing w:line="400" w:lineRule="exact"/>
        <w:ind w:firstLine="700" w:firstLineChars="250"/>
        <w:contextualSpacing/>
        <w:jc w:val="left"/>
        <w:rPr>
          <w:rFonts w:ascii="仿宋_GB2312" w:hAnsi="宋体" w:eastAsia="仿宋_GB2312"/>
          <w:sz w:val="28"/>
          <w:szCs w:val="28"/>
        </w:rPr>
      </w:pPr>
      <w:r>
        <w:rPr>
          <w:rFonts w:hint="eastAsia" w:ascii="仿宋_GB2312" w:hAnsi="宋体" w:eastAsia="仿宋_GB2312"/>
          <w:color w:val="000000"/>
          <w:sz w:val="28"/>
          <w:szCs w:val="28"/>
        </w:rPr>
        <w:t>3、具有良好的银行资信和商业信誉，没有处于被责令停业，财产被接</w:t>
      </w:r>
      <w:r>
        <w:rPr>
          <w:rFonts w:hint="eastAsia" w:ascii="仿宋_GB2312" w:hAnsi="宋体" w:eastAsia="仿宋_GB2312"/>
          <w:sz w:val="28"/>
          <w:szCs w:val="28"/>
        </w:rPr>
        <w:t>管、冻结，破产状态；</w:t>
      </w:r>
    </w:p>
    <w:p>
      <w:pPr>
        <w:spacing w:line="400" w:lineRule="exact"/>
        <w:ind w:firstLine="700" w:firstLineChars="250"/>
        <w:contextualSpacing/>
        <w:jc w:val="left"/>
        <w:rPr>
          <w:rFonts w:ascii="仿宋_GB2312" w:hAnsi="宋体" w:eastAsia="仿宋_GB2312"/>
          <w:sz w:val="28"/>
          <w:szCs w:val="28"/>
          <w:u w:val="none"/>
        </w:rPr>
      </w:pPr>
      <w:r>
        <w:rPr>
          <w:rFonts w:hint="eastAsia" w:ascii="仿宋_GB2312" w:hAnsi="宋体" w:eastAsia="仿宋_GB2312"/>
          <w:sz w:val="28"/>
          <w:szCs w:val="28"/>
          <w:u w:val="none"/>
        </w:rPr>
        <w:t>四、获取竞争性磋商文件时间及地点</w:t>
      </w:r>
    </w:p>
    <w:p>
      <w:pPr>
        <w:spacing w:line="500" w:lineRule="exact"/>
        <w:ind w:firstLine="560"/>
        <w:rPr>
          <w:rFonts w:ascii="仿宋_GB2312" w:hAnsi="宋体" w:eastAsia="仿宋_GB2312"/>
          <w:color w:val="FF0000"/>
          <w:sz w:val="28"/>
          <w:szCs w:val="28"/>
          <w:u w:val="single"/>
        </w:rPr>
      </w:pPr>
      <w:r>
        <w:rPr>
          <w:rFonts w:hint="eastAsia" w:ascii="仿宋_GB2312" w:hAnsi="宋体" w:eastAsia="仿宋_GB2312"/>
          <w:sz w:val="28"/>
          <w:szCs w:val="28"/>
          <w:u w:val="none"/>
        </w:rPr>
        <w:t>请于2019年</w:t>
      </w:r>
      <w:r>
        <w:rPr>
          <w:rFonts w:hint="eastAsia" w:ascii="仿宋_GB2312" w:hAnsi="宋体" w:eastAsia="仿宋_GB2312"/>
          <w:sz w:val="28"/>
          <w:szCs w:val="28"/>
          <w:u w:val="none"/>
          <w:lang w:val="en-US" w:eastAsia="zh-CN"/>
        </w:rPr>
        <w:t>12</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13</w:t>
      </w:r>
      <w:r>
        <w:rPr>
          <w:rFonts w:hint="eastAsia" w:ascii="仿宋_GB2312" w:hAnsi="宋体" w:eastAsia="仿宋_GB2312"/>
          <w:sz w:val="28"/>
          <w:szCs w:val="28"/>
          <w:u w:val="none"/>
        </w:rPr>
        <w:t>日—2019年</w:t>
      </w:r>
      <w:r>
        <w:rPr>
          <w:rFonts w:hint="eastAsia" w:ascii="仿宋_GB2312" w:hAnsi="宋体" w:eastAsia="仿宋_GB2312"/>
          <w:sz w:val="28"/>
          <w:szCs w:val="28"/>
          <w:u w:val="none"/>
          <w:lang w:val="en-US" w:eastAsia="zh-CN"/>
        </w:rPr>
        <w:t>12</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17</w:t>
      </w:r>
      <w:r>
        <w:rPr>
          <w:rFonts w:hint="eastAsia" w:ascii="仿宋_GB2312" w:hAnsi="宋体" w:eastAsia="仿宋_GB2312"/>
          <w:sz w:val="28"/>
          <w:szCs w:val="28"/>
          <w:u w:val="none"/>
        </w:rPr>
        <w:t>日到广西国际博览集团有限公司网站下载</w:t>
      </w:r>
    </w:p>
    <w:p>
      <w:pPr>
        <w:spacing w:line="400" w:lineRule="exact"/>
        <w:ind w:firstLine="560" w:firstLine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五、磋商时间和地点</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 xml:space="preserve">谈    间：2019年 </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18</w:t>
      </w:r>
      <w:r>
        <w:rPr>
          <w:rFonts w:hint="eastAsia" w:ascii="仿宋_GB2312" w:hAnsi="宋体" w:eastAsia="仿宋_GB2312"/>
          <w:color w:val="000000"/>
          <w:sz w:val="28"/>
          <w:szCs w:val="28"/>
        </w:rPr>
        <w:t>日1</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:30</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地    点：广西博览文化传媒有限公司</w:t>
      </w:r>
    </w:p>
    <w:p>
      <w:pPr>
        <w:spacing w:line="400" w:lineRule="exact"/>
        <w:ind w:left="1117" w:leftChars="532" w:firstLine="0" w:firstLineChars="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南宁市青秀区会展路18号会展大厦11F</w:t>
      </w:r>
    </w:p>
    <w:p>
      <w:pPr>
        <w:spacing w:line="400" w:lineRule="exact"/>
        <w:ind w:firstLine="560" w:firstLine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六、联系方式</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单位名称：广西博览文化传媒有限公司</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地    址：南宁市青秀区会展路18号会展大厦11F</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邮    编：532203</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 xml:space="preserve">： </w:t>
      </w:r>
      <w:r>
        <w:rPr>
          <w:rFonts w:hint="eastAsia" w:ascii="仿宋_GB2312" w:hAnsi="宋体" w:eastAsia="仿宋_GB2312"/>
          <w:color w:val="000000" w:themeColor="text1"/>
          <w:sz w:val="28"/>
          <w:szCs w:val="28"/>
          <w:lang w:eastAsia="zh-CN"/>
          <w14:textFill>
            <w14:solidFill>
              <w14:schemeClr w14:val="tx1"/>
            </w14:solidFill>
          </w14:textFill>
        </w:rPr>
        <w:t>李艳龙</w:t>
      </w:r>
      <w:r>
        <w:rPr>
          <w:rFonts w:hint="eastAsia" w:ascii="仿宋_GB2312" w:hAnsi="宋体" w:eastAsia="仿宋_GB2312"/>
          <w:color w:val="000000" w:themeColor="text1"/>
          <w:sz w:val="28"/>
          <w:szCs w:val="28"/>
          <w14:textFill>
            <w14:solidFill>
              <w14:schemeClr w14:val="tx1"/>
            </w14:solidFill>
          </w14:textFill>
        </w:rPr>
        <w:t>，0771-2212615</w:t>
      </w:r>
    </w:p>
    <w:p>
      <w:pPr>
        <w:numPr>
          <w:ilvl w:val="0"/>
          <w:numId w:val="2"/>
        </w:numPr>
        <w:spacing w:line="400" w:lineRule="exact"/>
        <w:ind w:left="560" w:leftChars="0"/>
        <w:contextualSpacing/>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numPr>
          <w:ilvl w:val="0"/>
          <w:numId w:val="0"/>
        </w:numPr>
        <w:spacing w:line="400" w:lineRule="exact"/>
        <w:contextualSpacing/>
        <w:jc w:val="left"/>
        <w:rPr>
          <w:rFonts w:hint="eastAsia" w:ascii="仿宋_GB2312" w:hAnsi="宋体" w:eastAsia="仿宋_GB2312"/>
          <w:color w:val="000000"/>
          <w:sz w:val="28"/>
          <w:szCs w:val="28"/>
        </w:rPr>
      </w:pPr>
    </w:p>
    <w:p>
      <w:pPr>
        <w:tabs>
          <w:tab w:val="left" w:pos="632"/>
        </w:tabs>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广西博览文化传媒有限公司</w:t>
      </w:r>
    </w:p>
    <w:p>
      <w:pPr>
        <w:tabs>
          <w:tab w:val="left" w:pos="632"/>
        </w:tabs>
        <w:jc w:val="center"/>
        <w:rPr>
          <w:rFonts w:hint="eastAsia" w:ascii="仿宋_GB2312"/>
          <w:b/>
          <w:bCs/>
          <w:color w:val="000000"/>
          <w:sz w:val="36"/>
          <w:szCs w:val="36"/>
        </w:rPr>
      </w:pPr>
      <w:r>
        <w:rPr>
          <w:rFonts w:hint="eastAsia" w:ascii="仿宋_GB2312" w:hAnsi="宋体" w:eastAsia="仿宋_GB2312"/>
          <w:color w:val="000000"/>
          <w:sz w:val="28"/>
          <w:szCs w:val="28"/>
        </w:rPr>
        <w:t xml:space="preserve">                               2019年</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13</w:t>
      </w:r>
      <w:r>
        <w:rPr>
          <w:rFonts w:hint="eastAsia" w:ascii="仿宋_GB2312" w:hAnsi="宋体" w:eastAsia="仿宋_GB2312"/>
          <w:color w:val="000000"/>
          <w:sz w:val="28"/>
          <w:szCs w:val="28"/>
        </w:rPr>
        <w:t>日</w:t>
      </w: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8"/>
          <w:szCs w:val="28"/>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eastAsia="仿宋_GB2312" w:hAnsiTheme="minorEastAsia" w:cstheme="minorEastAsia"/>
                <w:sz w:val="24"/>
              </w:rPr>
              <w:t>防城港嘉乐城美陈设计方案采购项目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lang w:val="en-US" w:eastAsia="zh-CN"/>
              </w:rPr>
            </w:pPr>
            <w:r>
              <w:rPr>
                <w:rFonts w:hint="eastAsia" w:ascii="仿宋_GB2312" w:eastAsia="仿宋_GB2312" w:hAnsiTheme="minorEastAsia" w:cstheme="minorEastAsia"/>
                <w:sz w:val="24"/>
              </w:rPr>
              <w:t>防城港嘉乐城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竣工期限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w:t>
            </w:r>
            <w:r>
              <w:rPr>
                <w:rFonts w:hint="eastAsia" w:ascii="仿宋_GB2312" w:hAnsi="宋体" w:eastAsia="仿宋_GB2312"/>
                <w:color w:val="000000" w:themeColor="text1"/>
                <w:sz w:val="24"/>
                <w:lang w:val="en-US" w:eastAsia="zh-CN"/>
                <w14:textFill>
                  <w14:solidFill>
                    <w14:schemeClr w14:val="tx1"/>
                  </w14:solidFill>
                </w14:textFill>
              </w:rPr>
              <w:t>20</w:t>
            </w:r>
            <w:r>
              <w:rPr>
                <w:rFonts w:hint="eastAsia" w:ascii="仿宋_GB2312" w:hAnsi="宋体" w:eastAsia="仿宋_GB2312"/>
                <w:color w:val="000000" w:themeColor="text1"/>
                <w:sz w:val="24"/>
                <w14:textFill>
                  <w14:solidFill>
                    <w14:schemeClr w14:val="tx1"/>
                  </w14:solidFill>
                </w14:textFill>
              </w:rPr>
              <w:t>年</w:t>
            </w:r>
            <w:r>
              <w:rPr>
                <w:rFonts w:hint="eastAsia" w:ascii="仿宋_GB2312" w:hAnsi="宋体" w:eastAsia="仿宋_GB2312"/>
                <w:color w:val="000000" w:themeColor="text1"/>
                <w:sz w:val="24"/>
                <w:lang w:val="en-US" w:eastAsia="zh-CN"/>
                <w14:textFill>
                  <w14:solidFill>
                    <w14:schemeClr w14:val="tx1"/>
                  </w14:solidFill>
                </w14:textFill>
              </w:rPr>
              <w:t>1</w:t>
            </w:r>
            <w:r>
              <w:rPr>
                <w:rFonts w:hint="eastAsia" w:ascii="仿宋_GB2312" w:hAnsi="宋体" w:eastAsia="仿宋_GB2312"/>
                <w:color w:val="000000" w:themeColor="text1"/>
                <w:sz w:val="24"/>
                <w14:textFill>
                  <w14:solidFill>
                    <w14:schemeClr w14:val="tx1"/>
                  </w14:solidFill>
                </w14:textFill>
              </w:rPr>
              <w:t>月</w:t>
            </w:r>
            <w:r>
              <w:rPr>
                <w:rFonts w:hint="eastAsia" w:ascii="仿宋_GB2312" w:hAnsi="宋体" w:eastAsia="仿宋_GB2312"/>
                <w:color w:val="000000" w:themeColor="text1"/>
                <w:sz w:val="24"/>
                <w:lang w:val="en-US" w:eastAsia="zh-CN"/>
                <w14:textFill>
                  <w14:solidFill>
                    <w14:schemeClr w14:val="tx1"/>
                  </w14:solidFill>
                </w14:textFill>
              </w:rPr>
              <w:t>16</w:t>
            </w:r>
            <w:r>
              <w:rPr>
                <w:rFonts w:hint="eastAsia" w:ascii="仿宋_GB2312" w:hAnsi="宋体" w:eastAsia="仿宋_GB2312"/>
                <w:color w:val="000000" w:themeColor="text1"/>
                <w:sz w:val="24"/>
                <w14:textFill>
                  <w14:solidFill>
                    <w14:schemeClr w14:val="tx1"/>
                  </w14:solidFill>
                </w14:textFill>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24"/>
              </w:rPr>
            </w:pPr>
            <w:r>
              <w:rPr>
                <w:rFonts w:ascii="仿宋_GB2312" w:hAnsi="宋体" w:eastAsia="仿宋_GB2312"/>
                <w:color w:val="000000"/>
                <w:sz w:val="24"/>
              </w:rPr>
              <w:t>1、投标人应具有独立法人资格和独立签订合同的权利，应为中华人民共和国境内注册的企业法人；</w:t>
            </w:r>
            <w:r>
              <w:rPr>
                <w:rFonts w:ascii="仿宋_GB2312" w:hAnsi="宋体" w:eastAsia="仿宋_GB2312"/>
                <w:color w:val="000000"/>
                <w:sz w:val="24"/>
              </w:rPr>
              <w:br w:type="textWrapping"/>
            </w:r>
            <w:r>
              <w:rPr>
                <w:rFonts w:hint="eastAsia" w:ascii="仿宋_GB2312" w:hAnsi="宋体" w:eastAsia="仿宋_GB2312"/>
                <w:color w:val="000000"/>
                <w:sz w:val="24"/>
              </w:rPr>
              <w:t>2</w:t>
            </w:r>
            <w:r>
              <w:rPr>
                <w:rFonts w:ascii="仿宋_GB2312" w:hAnsi="宋体" w:eastAsia="仿宋_GB2312"/>
                <w:color w:val="000000"/>
                <w:sz w:val="24"/>
              </w:rPr>
              <w:t>、具有良好的银行资信和商业信誉，没有处于被责令停业，财产被接管、冻结，破产状态</w:t>
            </w:r>
            <w:r>
              <w:rPr>
                <w:rFonts w:hint="eastAsia" w:ascii="仿宋_GB2312" w:hAnsi="宋体" w:eastAsia="仿宋_GB2312"/>
                <w:color w:val="000000"/>
                <w:sz w:val="24"/>
              </w:rPr>
              <w:t>；</w:t>
            </w:r>
          </w:p>
          <w:p>
            <w:pPr>
              <w:rPr>
                <w:rFonts w:ascii="仿宋_GB2312" w:hAnsi="宋体" w:eastAsia="仿宋_GB2312"/>
                <w:color w:val="000000"/>
                <w:sz w:val="24"/>
              </w:rPr>
            </w:pPr>
            <w:r>
              <w:rPr>
                <w:rFonts w:hint="eastAsia" w:ascii="仿宋_GB2312" w:hAnsi="宋体" w:eastAsia="仿宋_GB2312"/>
                <w:color w:val="000000"/>
                <w:sz w:val="24"/>
              </w:rPr>
              <w:t>3、不接受联合体竞谈。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地点：广西博览文化传媒有限公司</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 xml:space="preserve">      南宁市青秀区会展路18号会展大厦11F</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 xml:space="preserve">截止时间: 2019年 </w:t>
            </w:r>
            <w:r>
              <w:rPr>
                <w:rFonts w:hint="eastAsia" w:ascii="仿宋_GB2312" w:hAnsi="宋体" w:eastAsia="仿宋_GB2312"/>
                <w:color w:val="000000"/>
                <w:sz w:val="24"/>
                <w:lang w:val="en-US" w:eastAsia="zh-CN"/>
              </w:rPr>
              <w:t>12</w:t>
            </w:r>
            <w:r>
              <w:rPr>
                <w:rFonts w:hint="eastAsia" w:ascii="仿宋_GB2312" w:hAnsi="宋体" w:eastAsia="仿宋_GB2312"/>
                <w:color w:val="000000"/>
                <w:sz w:val="24"/>
              </w:rPr>
              <w:t>月1</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日1</w:t>
            </w:r>
            <w:r>
              <w:rPr>
                <w:rFonts w:hint="eastAsia" w:ascii="仿宋_GB2312" w:hAnsi="宋体" w:eastAsia="仿宋_GB2312"/>
                <w:color w:val="000000"/>
                <w:sz w:val="24"/>
                <w:lang w:val="en-US" w:eastAsia="zh-CN"/>
              </w:rPr>
              <w:t>6：0</w:t>
            </w:r>
            <w:r>
              <w:rPr>
                <w:rFonts w:hint="eastAsia" w:ascii="仿宋_GB2312" w:hAnsi="宋体"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eastAsia="zh-CN"/>
              </w:rPr>
              <w:t>至少</w:t>
            </w:r>
            <w:r>
              <w:rPr>
                <w:rFonts w:hint="eastAsia" w:ascii="仿宋_GB2312" w:hAnsi="宋体" w:eastAsia="仿宋_GB2312"/>
                <w:color w:val="000000"/>
                <w:sz w:val="24"/>
                <w:lang w:val="en-US" w:eastAsia="zh-CN"/>
              </w:rPr>
              <w:t>1年（自交货并验收合格之日起计）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 xml:space="preserve">    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1.工程说明</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sz w:val="24"/>
        </w:rPr>
        <w:t>1</w:t>
      </w:r>
      <w:r>
        <w:rPr>
          <w:rFonts w:hint="eastAsia" w:ascii="仿宋_GB2312" w:hAnsi="宋体" w:eastAsia="仿宋_GB2312" w:cs="宋体"/>
          <w:kern w:val="0"/>
          <w:sz w:val="24"/>
        </w:rPr>
        <w:t>.l 工程名称：</w:t>
      </w:r>
      <w:r>
        <w:rPr>
          <w:rFonts w:hint="eastAsia" w:ascii="仿宋_GB2312" w:eastAsia="仿宋_GB2312" w:hAnsiTheme="minorEastAsia" w:cstheme="minorEastAsia"/>
          <w:sz w:val="24"/>
        </w:rPr>
        <w:t>防城港嘉乐城美陈设计方案采购项目</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s="宋体"/>
          <w:kern w:val="0"/>
          <w:sz w:val="24"/>
        </w:rPr>
        <w:t>1.2 施工地点：</w:t>
      </w:r>
      <w:r>
        <w:rPr>
          <w:rFonts w:hint="eastAsia" w:ascii="仿宋_GB2312" w:eastAsia="仿宋_GB2312" w:hAnsiTheme="minorEastAsia" w:cstheme="minorEastAsia"/>
          <w:sz w:val="24"/>
        </w:rPr>
        <w:t>防城港嘉乐城美</w:t>
      </w:r>
    </w:p>
    <w:p>
      <w:pPr>
        <w:snapToGrid w:val="0"/>
        <w:spacing w:line="360" w:lineRule="auto"/>
        <w:ind w:firstLine="480" w:firstLineChars="200"/>
        <w:jc w:val="left"/>
        <w:rPr>
          <w:rFonts w:ascii="仿宋_GB2312" w:hAnsi="宋体" w:eastAsia="仿宋_GB2312"/>
          <w:sz w:val="24"/>
        </w:rPr>
      </w:pPr>
      <w:r>
        <w:rPr>
          <w:rFonts w:hint="eastAsia" w:ascii="仿宋_GB2312" w:hAnsi="宋体" w:eastAsia="仿宋_GB2312" w:cs="宋体"/>
          <w:kern w:val="0"/>
          <w:sz w:val="24"/>
        </w:rPr>
        <w:t>1.3承包方式：包工包料</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1年</w:t>
      </w:r>
    </w:p>
    <w:p>
      <w:pPr>
        <w:snapToGrid w:val="0"/>
        <w:spacing w:beforeLines="25" w:afterLines="25"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1.6 要求竣工日期： 2</w:t>
      </w:r>
      <w:r>
        <w:rPr>
          <w:rFonts w:hint="eastAsia" w:ascii="仿宋_GB2312" w:hAnsi="宋体" w:eastAsia="仿宋_GB2312" w:cs="宋体"/>
          <w:kern w:val="0"/>
          <w:sz w:val="24"/>
          <w:lang w:val="en-US" w:eastAsia="zh-CN"/>
        </w:rPr>
        <w:t>020</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16</w:t>
      </w:r>
      <w:r>
        <w:rPr>
          <w:rFonts w:hint="eastAsia" w:ascii="仿宋_GB2312" w:hAnsi="宋体" w:eastAsia="仿宋_GB2312" w:cs="宋体"/>
          <w:kern w:val="0"/>
          <w:sz w:val="24"/>
        </w:rPr>
        <w:t>日17:30前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竞争性磋商响应文件应分为商务文件和技术文件两个部分组成。</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2.6.1商务文件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（1）磋商报价表；（附件二）</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（2）工程量清单报价表。（附件三）</w:t>
      </w:r>
    </w:p>
    <w:p>
      <w:pPr>
        <w:spacing w:line="400" w:lineRule="exact"/>
        <w:ind w:left="840" w:hanging="84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（2）营业资质复印件，含营业执照、税务登记证、组织机构代码证、安全生产许可证（该项如有则须提供）等；</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（3）企业</w:t>
      </w:r>
      <w:r>
        <w:rPr>
          <w:rFonts w:hint="eastAsia" w:ascii="仿宋_GB2312" w:hAnsi="Arial" w:eastAsia="仿宋_GB2312" w:cs="Arial"/>
          <w:color w:val="000000"/>
          <w:sz w:val="24"/>
        </w:rPr>
        <w:t>资质证书复印件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（4）法定代表人证明书原件（附法定代表人身份证复印件）；（附件五）</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（5）法定代表人授权书原件及被授权代理人身份证复印件（代理人磋商提供）；（附件六）；</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（6）廉洁承诺书；（附件六）</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（7）</w:t>
      </w:r>
      <w:r>
        <w:rPr>
          <w:rFonts w:hint="eastAsia" w:eastAsia="仿宋_GB2312"/>
          <w:sz w:val="24"/>
        </w:rPr>
        <w:t>方案设计文字稿及设计效果图</w:t>
      </w:r>
      <w:r>
        <w:rPr>
          <w:rFonts w:hint="eastAsia" w:ascii="仿宋_GB2312" w:hAnsi="宋体" w:eastAsia="仿宋_GB2312"/>
          <w:color w:val="000000"/>
          <w:sz w:val="24"/>
        </w:rPr>
        <w:t>。</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3. 计量单位</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3.1除技术要求中另有规定外，本文件所要求使用的计量单位均应采用国家法定计量单位。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 xml:space="preserve">4.1 承包方报价须按照本文件所列的工程量清单，本文件未列明的清单项，承包方可根据踏勘现场实际情况列入报价清单，如结算时未发生的将不予以计算。 </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 磋商响应文件的份数和封装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5.1磋商供应商应将竞争性磋商响应文件递交广西博览文化传媒有限公司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5.2竞争性磋商响应文件的信封上应写明：</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6. 竞争性磋商响应文件的递交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6.1所有竞争性磋商响应文件应于“第一章 磋商邀请函”中规定的时间递交广西博览文化传媒有限公司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7.迟交的竞争性磋商响应文件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8.1 开标</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发包人按第一章“竞争性磋商邀请书”中约定的磋商时间及地点组织参与磋商的承包商召开开标会议，对本次磋商事项进行简要说明，并当众拆封磋商响应文件，审查供应商的相关资质。</w:t>
      </w:r>
    </w:p>
    <w:p>
      <w:pPr>
        <w:spacing w:line="400" w:lineRule="exact"/>
        <w:ind w:left="420" w:hanging="420"/>
        <w:jc w:val="left"/>
        <w:rPr>
          <w:rFonts w:ascii="仿宋_GB2312" w:hAnsi="宋体" w:eastAsia="仿宋_GB2312"/>
          <w:color w:val="000000"/>
          <w:sz w:val="24"/>
        </w:rPr>
      </w:pPr>
      <w:r>
        <w:rPr>
          <w:rFonts w:hint="eastAsia" w:ascii="仿宋_GB2312" w:hAnsi="宋体" w:eastAsia="仿宋_GB2312"/>
          <w:color w:val="000000"/>
          <w:sz w:val="24"/>
        </w:rPr>
        <w:t>8.2磋商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发包人成立磋商小组，按承包商的签到顺序与单一承包商分别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eastAsia="仿宋_GB2312" w:hAnsiTheme="minorEastAsia" w:cstheme="minorEastAsia"/>
          <w:sz w:val="24"/>
          <w:u w:val="single"/>
        </w:rPr>
        <w:t>防城港嘉乐城美陈设计方案采购项目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发包人对磋商过程和重要磋商内容进行记录。</w:t>
      </w:r>
    </w:p>
    <w:p>
      <w:pPr>
        <w:spacing w:line="400" w:lineRule="exact"/>
        <w:jc w:val="left"/>
        <w:rPr>
          <w:rFonts w:ascii="仿宋_GB2312" w:hAnsi="宋体" w:eastAsia="仿宋_GB2312"/>
          <w:color w:val="000000"/>
          <w:sz w:val="24"/>
        </w:rPr>
      </w:pPr>
      <w:r>
        <w:rPr>
          <w:rFonts w:hint="eastAsia" w:ascii="仿宋_GB2312" w:hAnsi="宋体" w:eastAsia="仿宋_GB2312"/>
          <w:color w:val="000000"/>
          <w:sz w:val="24"/>
        </w:rPr>
        <w:t>8.3最终报价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磋商结束后，承包商根据磋商情况当场给出最终报价，磋商双方在磋商结果上签字确认。</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9.1 发包人磋商小组根据符合</w:t>
      </w:r>
      <w:r>
        <w:rPr>
          <w:rFonts w:hint="eastAsia" w:ascii="仿宋_GB2312" w:eastAsia="仿宋_GB2312" w:hAnsiTheme="minorEastAsia" w:cstheme="minorEastAsia"/>
          <w:sz w:val="24"/>
        </w:rPr>
        <w:t>防城港嘉乐城美陈设计方案采购项目</w:t>
      </w:r>
      <w:r>
        <w:rPr>
          <w:rFonts w:hint="eastAsia" w:ascii="仿宋_GB2312" w:hAnsi="宋体" w:eastAsia="仿宋_GB2312"/>
          <w:color w:val="000000"/>
          <w:sz w:val="24"/>
        </w:rPr>
        <w:t>综合评分法确定成交承包商，并将评标结果按发包人的审批流程报批。</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9.2发包人在评标结果批复后向参与磋商的承包商发送评标结果告知函。</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10.中标承包商在收到中标通知书后，按规定与发包人签订合同。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eastAsia="zh-CN"/>
        </w:rPr>
        <w:t>方案设计制作</w:t>
      </w:r>
      <w:r>
        <w:rPr>
          <w:rFonts w:hint="eastAsia" w:ascii="仿宋_GB2312" w:hAnsi="宋体" w:eastAsia="仿宋_GB2312"/>
          <w:b/>
          <w:color w:val="000000"/>
          <w:sz w:val="32"/>
          <w:szCs w:val="32"/>
        </w:rPr>
        <w:t>要求</w:t>
      </w:r>
    </w:p>
    <w:p>
      <w:pPr>
        <w:numPr>
          <w:ilvl w:val="0"/>
          <w:numId w:val="0"/>
        </w:numPr>
        <w:tabs>
          <w:tab w:val="left" w:pos="180"/>
          <w:tab w:val="left" w:pos="1620"/>
        </w:tabs>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lang w:eastAsia="zh-CN"/>
        </w:rPr>
        <w:t>一、项目要求：</w:t>
      </w:r>
    </w:p>
    <w:p>
      <w:pPr>
        <w:tabs>
          <w:tab w:val="left" w:pos="180"/>
          <w:tab w:val="left" w:pos="1620"/>
        </w:tabs>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根据防城港嘉乐城相关的工作安排，要求对商场内部、前广场、通道、电梯、商业区灯光、商场扶手、楼梯外部灯光等现场进行设计布置，主要包括整体展现形式的设计和内容制作、氛围的营造和具体的安装等，具体如下：</w:t>
      </w:r>
    </w:p>
    <w:p>
      <w:pPr>
        <w:tabs>
          <w:tab w:val="left" w:pos="180"/>
          <w:tab w:val="left" w:pos="1620"/>
        </w:tabs>
        <w:spacing w:line="360" w:lineRule="auto"/>
        <w:ind w:firstLine="480" w:firstLineChars="200"/>
        <w:rPr>
          <w:rFonts w:hint="eastAsia"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1.整体设计美观大方、创意性强。</w:t>
      </w:r>
    </w:p>
    <w:p>
      <w:pPr>
        <w:tabs>
          <w:tab w:val="left" w:pos="180"/>
          <w:tab w:val="left" w:pos="1620"/>
        </w:tabs>
        <w:spacing w:line="360" w:lineRule="auto"/>
        <w:ind w:firstLine="480" w:firstLineChars="200"/>
        <w:rPr>
          <w:rFonts w:hint="default"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2.供应商参加磋商时请带上设计方案、效果图和施工图。并对设计构思、布局、材料选择及效果进行介绍。</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val="en-US" w:eastAsia="zh-CN"/>
        </w:rPr>
        <w:t>3.</w:t>
      </w:r>
      <w:r>
        <w:rPr>
          <w:rFonts w:hint="eastAsia" w:ascii="仿宋_GB2312" w:hAnsi="仿宋" w:eastAsia="仿宋_GB2312"/>
          <w:color w:val="000000"/>
          <w:sz w:val="24"/>
        </w:rPr>
        <w:t>布展材料应绿色、环保、安全，有一定的档次，质感良好。施工材料符合消防要求，防火性能良好，结构安全稳固，保障施工及参观过程中的人身安全。</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成交方需要主动配合采购单位收集整合展示区内容，展区整体上区域应划分合理，布置科学，便于陈列展示和现场参观，展区内有一定面积作为展会工作临时储物区域。</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eastAsia="zh-CN"/>
        </w:rPr>
        <w:t>二</w:t>
      </w:r>
      <w:r>
        <w:rPr>
          <w:rFonts w:hint="eastAsia" w:ascii="仿宋_GB2312" w:hAnsi="仿宋" w:eastAsia="仿宋_GB2312"/>
          <w:color w:val="000000"/>
          <w:sz w:val="24"/>
        </w:rPr>
        <w:t>、其他要求：</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（1）本项目是采用包工包料的形式发包，设计搭建布展所涉及的所有费用均由成交方承担；</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（2）在成交后至正式搭建之前，如采购单位要求对布局方案进行修改或调整，成交方必须积极配合执行；</w:t>
      </w:r>
    </w:p>
    <w:p>
      <w:pPr>
        <w:tabs>
          <w:tab w:val="left" w:pos="180"/>
          <w:tab w:val="left" w:pos="1620"/>
        </w:tabs>
        <w:spacing w:line="360" w:lineRule="auto"/>
        <w:ind w:firstLine="480" w:firstLineChars="200"/>
        <w:rPr>
          <w:rFonts w:ascii="仿宋_GB2312" w:hAnsi="仿宋" w:eastAsia="仿宋_GB2312"/>
          <w:color w:val="000000"/>
          <w:sz w:val="24"/>
        </w:rPr>
      </w:pPr>
    </w:p>
    <w:p>
      <w:pPr>
        <w:tabs>
          <w:tab w:val="left" w:pos="180"/>
          <w:tab w:val="left" w:pos="1620"/>
        </w:tabs>
        <w:spacing w:line="360" w:lineRule="auto"/>
        <w:ind w:firstLine="480" w:firstLineChars="200"/>
        <w:rPr>
          <w:rFonts w:ascii="仿宋_GB2312" w:hAnsi="仿宋" w:eastAsia="仿宋_GB2312"/>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_GB2312" w:hAnsi="宋体" w:eastAsia="仿宋_GB2312"/>
          <w:color w:val="000000"/>
          <w:szCs w:val="21"/>
        </w:rPr>
      </w:pPr>
      <w:r>
        <w:rPr>
          <w:rFonts w:hint="eastAsia" w:ascii="仿宋_GB2312" w:hAnsi="宋体" w:eastAsia="仿宋_GB2312"/>
          <w:color w:val="000000"/>
          <w:szCs w:val="21"/>
        </w:rPr>
        <w:t xml:space="preserve">                </w:t>
      </w:r>
    </w:p>
    <w:p>
      <w:pPr>
        <w:jc w:val="center"/>
        <w:rPr>
          <w:rFonts w:eastAsia="仿宋_GB2312"/>
          <w:b/>
          <w:bCs/>
          <w:color w:val="000000"/>
          <w:sz w:val="36"/>
          <w:szCs w:val="36"/>
        </w:rPr>
      </w:pPr>
      <w:r>
        <w:rPr>
          <w:rFonts w:eastAsia="仿宋_GB2312"/>
          <w:b/>
          <w:bCs/>
          <w:color w:val="000000"/>
          <w:sz w:val="32"/>
          <w:szCs w:val="32"/>
        </w:rPr>
        <w:t>第四章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5137628"/>
      <w:bookmarkStart w:id="3" w:name="_Toc274756332"/>
      <w:bookmarkStart w:id="4" w:name="_Toc265137408"/>
      <w:bookmarkStart w:id="5" w:name="_Toc264882251"/>
      <w:bookmarkStart w:id="6" w:name="_Toc264731469"/>
      <w:bookmarkStart w:id="7" w:name="_Toc265138140"/>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eastAsia" w:ascii="仿宋_GB2312" w:hAnsi="宋体" w:eastAsia="仿宋_GB2312"/>
          <w:b/>
          <w:color w:val="000000"/>
          <w:sz w:val="44"/>
          <w:szCs w:val="44"/>
        </w:rPr>
        <w:t>谈  判  书</w:t>
      </w:r>
    </w:p>
    <w:p>
      <w:pPr>
        <w:pStyle w:val="12"/>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广西博览文化传媒有限公司</w:t>
      </w:r>
      <w:r>
        <w:rPr>
          <w:rFonts w:hint="eastAsia" w:ascii="仿宋_GB2312" w:hAnsi="宋体" w:eastAsia="仿宋_GB2312"/>
          <w:color w:val="000000"/>
          <w:sz w:val="28"/>
          <w:szCs w:val="28"/>
        </w:rPr>
        <w:t>：</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4"/>
          <w:u w:val="single"/>
        </w:rPr>
        <w:t xml:space="preserve"> </w:t>
      </w:r>
      <w:r>
        <w:rPr>
          <w:rFonts w:hint="eastAsia" w:ascii="仿宋_GB2312" w:eastAsia="仿宋_GB2312"/>
          <w:sz w:val="28"/>
          <w:szCs w:val="28"/>
          <w:u w:val="single"/>
        </w:rPr>
        <w:t xml:space="preserve"> </w:t>
      </w:r>
      <w:r>
        <w:rPr>
          <w:rFonts w:hint="eastAsia" w:ascii="仿宋_GB2312" w:eastAsia="仿宋_GB2312" w:hAnsiTheme="minorEastAsia" w:cstheme="minorEastAsia"/>
          <w:sz w:val="28"/>
          <w:szCs w:val="28"/>
          <w:u w:val="single"/>
        </w:rPr>
        <w:t>防城港嘉乐城美陈设计方案采购项目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提交下述竞争性磋商响应文件正本1份；副本2份。</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2"/>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2"/>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2"/>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2"/>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2"/>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防城港嘉乐城美陈设计方案采购项目</w:t>
      </w:r>
      <w:r>
        <w:rPr>
          <w:rFonts w:hint="eastAsia" w:ascii="宋体" w:hAnsi="宋体"/>
          <w:color w:val="000000"/>
          <w:sz w:val="28"/>
          <w:szCs w:val="28"/>
          <w:u w:val="single"/>
        </w:rPr>
        <w:t xml:space="preserve">     </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133"/>
        <w:gridCol w:w="852"/>
        <w:gridCol w:w="17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序号</w:t>
            </w:r>
          </w:p>
        </w:tc>
        <w:tc>
          <w:tcPr>
            <w:tcW w:w="3402" w:type="dxa"/>
            <w:vAlign w:val="center"/>
          </w:tcPr>
          <w:p>
            <w:pPr>
              <w:jc w:val="center"/>
              <w:rPr>
                <w:rFonts w:ascii="宋体" w:hAnsi="宋体"/>
                <w:color w:val="000000"/>
                <w:sz w:val="28"/>
                <w:szCs w:val="28"/>
              </w:rPr>
            </w:pPr>
            <w:r>
              <w:rPr>
                <w:rFonts w:hint="eastAsia" w:ascii="宋体" w:hAnsi="宋体"/>
                <w:color w:val="000000"/>
                <w:sz w:val="28"/>
                <w:szCs w:val="28"/>
              </w:rPr>
              <w:t>内容</w:t>
            </w:r>
          </w:p>
        </w:tc>
        <w:tc>
          <w:tcPr>
            <w:tcW w:w="1133" w:type="dxa"/>
            <w:vAlign w:val="center"/>
          </w:tcPr>
          <w:p>
            <w:pPr>
              <w:rPr>
                <w:rFonts w:ascii="宋体" w:hAnsi="宋体"/>
                <w:color w:val="000000"/>
                <w:sz w:val="28"/>
                <w:szCs w:val="28"/>
              </w:rPr>
            </w:pPr>
            <w:r>
              <w:rPr>
                <w:rFonts w:hint="eastAsia" w:ascii="宋体" w:hAnsi="宋体"/>
                <w:color w:val="000000"/>
                <w:sz w:val="28"/>
                <w:szCs w:val="28"/>
              </w:rPr>
              <w:t>单位</w:t>
            </w:r>
          </w:p>
        </w:tc>
        <w:tc>
          <w:tcPr>
            <w:tcW w:w="852" w:type="dxa"/>
            <w:vAlign w:val="center"/>
          </w:tcPr>
          <w:p>
            <w:pPr>
              <w:rPr>
                <w:rFonts w:ascii="宋体" w:hAnsi="宋体"/>
                <w:color w:val="000000"/>
                <w:sz w:val="28"/>
                <w:szCs w:val="28"/>
              </w:rPr>
            </w:pPr>
            <w:r>
              <w:rPr>
                <w:rFonts w:hint="eastAsia" w:ascii="宋体" w:hAnsi="宋体"/>
                <w:color w:val="000000"/>
                <w:sz w:val="28"/>
                <w:szCs w:val="28"/>
              </w:rPr>
              <w:t>数量</w:t>
            </w:r>
          </w:p>
        </w:tc>
        <w:tc>
          <w:tcPr>
            <w:tcW w:w="1700" w:type="dxa"/>
            <w:vAlign w:val="center"/>
          </w:tcPr>
          <w:p>
            <w:pPr>
              <w:jc w:val="center"/>
              <w:rPr>
                <w:rFonts w:ascii="宋体" w:hAnsi="宋体"/>
                <w:color w:val="000000"/>
                <w:sz w:val="28"/>
                <w:szCs w:val="28"/>
              </w:rPr>
            </w:pPr>
            <w:r>
              <w:rPr>
                <w:rFonts w:hint="eastAsia" w:ascii="宋体" w:hAnsi="宋体"/>
                <w:color w:val="000000"/>
                <w:sz w:val="28"/>
                <w:szCs w:val="28"/>
              </w:rPr>
              <w:t>总价</w:t>
            </w:r>
          </w:p>
        </w:tc>
        <w:tc>
          <w:tcPr>
            <w:tcW w:w="1559" w:type="dxa"/>
            <w:vAlign w:val="center"/>
          </w:tcPr>
          <w:p>
            <w:pP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1</w:t>
            </w:r>
          </w:p>
        </w:tc>
        <w:tc>
          <w:tcPr>
            <w:tcW w:w="3402" w:type="dxa"/>
            <w:vAlign w:val="center"/>
          </w:tcPr>
          <w:p>
            <w:pPr>
              <w:rPr>
                <w:rFonts w:ascii="宋体" w:hAnsi="宋体"/>
                <w:color w:val="000000"/>
                <w:sz w:val="28"/>
                <w:szCs w:val="28"/>
              </w:rPr>
            </w:pPr>
          </w:p>
        </w:tc>
        <w:tc>
          <w:tcPr>
            <w:tcW w:w="1133" w:type="dxa"/>
            <w:vAlign w:val="center"/>
          </w:tcPr>
          <w:p>
            <w:pPr>
              <w:ind w:firstLine="280" w:firstLineChars="100"/>
              <w:rPr>
                <w:rFonts w:ascii="宋体" w:hAnsi="宋体"/>
                <w:color w:val="000000"/>
                <w:sz w:val="28"/>
                <w:szCs w:val="28"/>
              </w:rPr>
            </w:pPr>
            <w:r>
              <w:rPr>
                <w:rFonts w:hint="eastAsia" w:ascii="宋体" w:hAnsi="宋体"/>
                <w:color w:val="000000"/>
                <w:sz w:val="28"/>
                <w:szCs w:val="28"/>
              </w:rPr>
              <w:t>项</w:t>
            </w:r>
          </w:p>
        </w:tc>
        <w:tc>
          <w:tcPr>
            <w:tcW w:w="852" w:type="dxa"/>
            <w:vAlign w:val="center"/>
          </w:tcPr>
          <w:p>
            <w:pPr>
              <w:jc w:val="center"/>
              <w:rPr>
                <w:rFonts w:ascii="宋体" w:hAnsi="宋体"/>
                <w:color w:val="000000"/>
                <w:sz w:val="28"/>
                <w:szCs w:val="28"/>
              </w:rPr>
            </w:pPr>
          </w:p>
        </w:tc>
        <w:tc>
          <w:tcPr>
            <w:tcW w:w="1700" w:type="dxa"/>
          </w:tcPr>
          <w:p>
            <w:pPr>
              <w:rPr>
                <w:rFonts w:ascii="宋体" w:hAnsi="宋体"/>
                <w:color w:val="000000"/>
                <w:sz w:val="28"/>
                <w:szCs w:val="28"/>
              </w:rPr>
            </w:pPr>
          </w:p>
        </w:tc>
        <w:tc>
          <w:tcPr>
            <w:tcW w:w="1559" w:type="dxa"/>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2</w:t>
            </w:r>
          </w:p>
        </w:tc>
        <w:tc>
          <w:tcPr>
            <w:tcW w:w="3402" w:type="dxa"/>
            <w:vAlign w:val="center"/>
          </w:tcPr>
          <w:p>
            <w:pPr>
              <w:rPr>
                <w:rFonts w:ascii="宋体" w:hAnsi="宋体"/>
                <w:color w:val="000000"/>
                <w:sz w:val="28"/>
                <w:szCs w:val="28"/>
              </w:rPr>
            </w:pPr>
            <w:r>
              <w:rPr>
                <w:rFonts w:hint="eastAsia" w:ascii="宋体" w:hAnsi="宋体"/>
                <w:color w:val="000000"/>
                <w:sz w:val="28"/>
                <w:szCs w:val="28"/>
              </w:rPr>
              <w:t>完工期限</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3</w:t>
            </w:r>
          </w:p>
        </w:tc>
        <w:tc>
          <w:tcPr>
            <w:tcW w:w="3402" w:type="dxa"/>
            <w:vAlign w:val="center"/>
          </w:tcPr>
          <w:p>
            <w:pPr>
              <w:rPr>
                <w:rFonts w:ascii="宋体" w:hAnsi="宋体"/>
                <w:color w:val="000000"/>
                <w:sz w:val="28"/>
                <w:szCs w:val="28"/>
              </w:rPr>
            </w:pPr>
            <w:r>
              <w:rPr>
                <w:rFonts w:hint="eastAsia" w:ascii="宋体" w:hAnsi="宋体"/>
                <w:color w:val="000000"/>
                <w:sz w:val="28"/>
                <w:szCs w:val="28"/>
              </w:rPr>
              <w:t>质保期</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4</w:t>
            </w:r>
          </w:p>
        </w:tc>
        <w:tc>
          <w:tcPr>
            <w:tcW w:w="3402" w:type="dxa"/>
            <w:vAlign w:val="center"/>
          </w:tcPr>
          <w:p>
            <w:pPr>
              <w:rPr>
                <w:rFonts w:ascii="宋体" w:hAnsi="宋体"/>
                <w:color w:val="000000"/>
                <w:sz w:val="28"/>
                <w:szCs w:val="28"/>
              </w:rPr>
            </w:pPr>
            <w:r>
              <w:rPr>
                <w:rFonts w:hint="eastAsia" w:ascii="宋体" w:hAnsi="宋体"/>
                <w:color w:val="000000"/>
                <w:sz w:val="28"/>
                <w:szCs w:val="28"/>
              </w:rPr>
              <w:t>开票方式</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5</w:t>
            </w:r>
          </w:p>
        </w:tc>
        <w:tc>
          <w:tcPr>
            <w:tcW w:w="3402" w:type="dxa"/>
            <w:vAlign w:val="center"/>
          </w:tcPr>
          <w:p>
            <w:pPr>
              <w:rPr>
                <w:rFonts w:ascii="宋体" w:hAnsi="宋体"/>
                <w:color w:val="000000"/>
                <w:sz w:val="28"/>
                <w:szCs w:val="28"/>
              </w:rPr>
            </w:pPr>
            <w:r>
              <w:rPr>
                <w:rFonts w:hint="eastAsia" w:ascii="宋体" w:hAnsi="宋体"/>
                <w:color w:val="000000"/>
                <w:sz w:val="28"/>
                <w:szCs w:val="28"/>
              </w:rPr>
              <w:t>付款方式</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6</w:t>
            </w:r>
          </w:p>
        </w:tc>
        <w:tc>
          <w:tcPr>
            <w:tcW w:w="3402" w:type="dxa"/>
            <w:vAlign w:val="center"/>
          </w:tcPr>
          <w:p>
            <w:pPr>
              <w:rPr>
                <w:rFonts w:ascii="宋体" w:hAnsi="宋体"/>
                <w:color w:val="000000"/>
                <w:sz w:val="28"/>
                <w:szCs w:val="28"/>
              </w:rPr>
            </w:pPr>
            <w:r>
              <w:rPr>
                <w:rFonts w:hint="eastAsia" w:ascii="宋体" w:hAnsi="宋体"/>
                <w:color w:val="000000"/>
                <w:sz w:val="28"/>
                <w:szCs w:val="28"/>
              </w:rPr>
              <w:t>其他</w:t>
            </w:r>
          </w:p>
        </w:tc>
        <w:tc>
          <w:tcPr>
            <w:tcW w:w="5244" w:type="dxa"/>
            <w:gridSpan w:val="4"/>
            <w:vAlign w:val="center"/>
          </w:tcPr>
          <w:p>
            <w:pPr>
              <w:rPr>
                <w:rFonts w:ascii="宋体" w:hAnsi="宋体"/>
                <w:color w:val="000000"/>
                <w:sz w:val="28"/>
                <w:szCs w:val="28"/>
              </w:rPr>
            </w:pPr>
          </w:p>
        </w:tc>
      </w:tr>
    </w:tbl>
    <w:p>
      <w:pPr>
        <w:rPr>
          <w:rFonts w:ascii="宋体" w:hAnsi="宋体"/>
          <w:color w:val="000000"/>
          <w:sz w:val="28"/>
          <w:szCs w:val="28"/>
        </w:rPr>
      </w:pPr>
      <w:r>
        <w:rPr>
          <w:rFonts w:hint="eastAsia" w:ascii="宋体" w:hAnsi="宋体"/>
          <w:color w:val="000000"/>
          <w:sz w:val="28"/>
          <w:szCs w:val="28"/>
        </w:rPr>
        <w:t>注：所有价格均用人民币表示，单位为元，精确到小数点后2位。</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宋体" w:hAnsi="宋体"/>
          <w:b/>
          <w:color w:val="000000"/>
          <w:szCs w:val="21"/>
        </w:rPr>
      </w:pPr>
    </w:p>
    <w:p>
      <w:pPr>
        <w:spacing w:line="300" w:lineRule="auto"/>
        <w:rPr>
          <w:rFonts w:ascii="宋体" w:hAnsi="宋体"/>
          <w:b/>
          <w:color w:val="000000"/>
          <w:szCs w:val="21"/>
        </w:rPr>
      </w:pPr>
      <w:r>
        <w:rPr>
          <w:rFonts w:hint="eastAsia" w:ascii="宋体" w:hAnsi="宋体"/>
          <w:b/>
          <w:color w:val="000000"/>
          <w:szCs w:val="21"/>
        </w:rPr>
        <w:t xml:space="preserve">附件三            </w:t>
      </w:r>
    </w:p>
    <w:p>
      <w:pPr>
        <w:spacing w:line="300" w:lineRule="auto"/>
        <w:jc w:val="center"/>
        <w:rPr>
          <w:rFonts w:ascii="仿宋_GB2312" w:hAnsi="宋体" w:eastAsia="仿宋_GB2312"/>
          <w:b/>
          <w:color w:val="000000"/>
          <w:sz w:val="44"/>
          <w:szCs w:val="44"/>
        </w:rPr>
      </w:pPr>
      <w:r>
        <w:rPr>
          <w:rFonts w:hint="eastAsia" w:ascii="仿宋_GB2312" w:hAnsi="宋体" w:eastAsia="仿宋_GB2312"/>
          <w:b/>
          <w:color w:val="000000"/>
          <w:sz w:val="44"/>
          <w:szCs w:val="44"/>
        </w:rPr>
        <w:t>工程量清单报价表</w:t>
      </w:r>
    </w:p>
    <w:p>
      <w:pPr>
        <w:spacing w:line="300" w:lineRule="auto"/>
        <w:rPr>
          <w:rFonts w:ascii="仿宋_GB2312" w:hAnsi="宋体" w:eastAsia="仿宋_GB2312"/>
          <w:color w:val="000000"/>
          <w:sz w:val="28"/>
          <w:szCs w:val="28"/>
        </w:rPr>
      </w:pPr>
      <w:r>
        <w:rPr>
          <w:rFonts w:hint="eastAsia" w:ascii="仿宋_GB2312" w:hAnsi="宋体" w:eastAsia="仿宋_GB2312"/>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防城港嘉乐城美陈设计方案采购项目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tbl>
      <w:tblPr>
        <w:tblStyle w:val="22"/>
        <w:tblW w:w="9178" w:type="dxa"/>
        <w:tblInd w:w="108" w:type="dxa"/>
        <w:tblLayout w:type="fixed"/>
        <w:tblCellMar>
          <w:top w:w="0" w:type="dxa"/>
          <w:left w:w="108" w:type="dxa"/>
          <w:bottom w:w="0" w:type="dxa"/>
          <w:right w:w="108" w:type="dxa"/>
        </w:tblCellMar>
      </w:tblPr>
      <w:tblGrid>
        <w:gridCol w:w="571"/>
        <w:gridCol w:w="3965"/>
        <w:gridCol w:w="709"/>
        <w:gridCol w:w="992"/>
        <w:gridCol w:w="993"/>
        <w:gridCol w:w="850"/>
        <w:gridCol w:w="1098"/>
      </w:tblGrid>
      <w:tr>
        <w:tblPrEx>
          <w:tblCellMar>
            <w:top w:w="0" w:type="dxa"/>
            <w:left w:w="108" w:type="dxa"/>
            <w:bottom w:w="0" w:type="dxa"/>
            <w:right w:w="108" w:type="dxa"/>
          </w:tblCellMar>
        </w:tblPrEx>
        <w:trPr>
          <w:trHeight w:val="390" w:hRule="atLeast"/>
        </w:trPr>
        <w:tc>
          <w:tcPr>
            <w:tcW w:w="571"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965"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项目名称及项目特征描述</w:t>
            </w:r>
          </w:p>
        </w:tc>
        <w:tc>
          <w:tcPr>
            <w:tcW w:w="709"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计量单位</w:t>
            </w:r>
          </w:p>
        </w:tc>
        <w:tc>
          <w:tcPr>
            <w:tcW w:w="992"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工程量</w:t>
            </w:r>
          </w:p>
        </w:tc>
        <w:tc>
          <w:tcPr>
            <w:tcW w:w="184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金   额(元)</w:t>
            </w:r>
          </w:p>
        </w:tc>
        <w:tc>
          <w:tcPr>
            <w:tcW w:w="1098" w:type="dxa"/>
            <w:vMerge w:val="restart"/>
            <w:tcBorders>
              <w:top w:val="single" w:color="000000" w:sz="4" w:space="0"/>
              <w:left w:val="nil"/>
              <w:right w:val="single" w:color="000000" w:sz="4" w:space="0"/>
            </w:tcBorders>
          </w:tcPr>
          <w:p>
            <w:pPr>
              <w:jc w:val="center"/>
              <w:rPr>
                <w:rFonts w:ascii="宋体" w:hAnsi="宋体" w:cs="宋体"/>
                <w:b/>
                <w:bCs/>
                <w:color w:val="000000"/>
                <w:kern w:val="0"/>
                <w:sz w:val="24"/>
              </w:rPr>
            </w:pPr>
            <w:r>
              <w:rPr>
                <w:rFonts w:hint="eastAsia" w:ascii="宋体" w:hAnsi="宋体" w:cs="宋体"/>
                <w:b/>
                <w:bCs/>
                <w:color w:val="000000"/>
                <w:kern w:val="0"/>
                <w:sz w:val="24"/>
              </w:rPr>
              <w:t>备 注</w:t>
            </w:r>
          </w:p>
        </w:tc>
      </w:tr>
      <w:tr>
        <w:tblPrEx>
          <w:tblCellMar>
            <w:top w:w="0" w:type="dxa"/>
            <w:left w:w="108" w:type="dxa"/>
            <w:bottom w:w="0" w:type="dxa"/>
            <w:right w:w="108" w:type="dxa"/>
          </w:tblCellMar>
        </w:tblPrEx>
        <w:trPr>
          <w:trHeight w:val="390"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39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nil"/>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综 合</w:t>
            </w:r>
          </w:p>
        </w:tc>
        <w:tc>
          <w:tcPr>
            <w:tcW w:w="85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 价</w:t>
            </w:r>
          </w:p>
        </w:tc>
        <w:tc>
          <w:tcPr>
            <w:tcW w:w="1098" w:type="dxa"/>
            <w:vMerge w:val="continue"/>
            <w:tcBorders>
              <w:left w:val="single" w:color="000000" w:sz="4" w:space="0"/>
              <w:right w:val="single" w:color="000000" w:sz="4" w:space="0"/>
            </w:tcBorders>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122"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39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 价</w:t>
            </w: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1098" w:type="dxa"/>
            <w:vMerge w:val="continue"/>
            <w:tcBorders>
              <w:left w:val="single" w:color="000000" w:sz="4" w:space="0"/>
              <w:bottom w:val="single" w:color="000000" w:sz="4" w:space="0"/>
              <w:right w:val="single" w:color="000000" w:sz="4" w:space="0"/>
            </w:tcBorders>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633" w:hRule="atLeast"/>
        </w:trPr>
        <w:tc>
          <w:tcPr>
            <w:tcW w:w="57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4"/>
              </w:rPr>
            </w:pPr>
          </w:p>
        </w:tc>
        <w:tc>
          <w:tcPr>
            <w:tcW w:w="3965" w:type="dxa"/>
            <w:tcBorders>
              <w:top w:val="nil"/>
              <w:left w:val="nil"/>
              <w:bottom w:val="single" w:color="000000" w:sz="4" w:space="0"/>
              <w:right w:val="single" w:color="000000" w:sz="4" w:space="0"/>
            </w:tcBorders>
            <w:vAlign w:val="center"/>
          </w:tcPr>
          <w:p>
            <w:pPr>
              <w:widowControl/>
              <w:jc w:val="left"/>
              <w:rPr>
                <w:rFonts w:ascii="宋体" w:hAnsi="宋体" w:cs="宋体"/>
                <w:b/>
                <w:bCs/>
                <w:kern w:val="0"/>
                <w:sz w:val="24"/>
              </w:rPr>
            </w:pP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p>
        </w:tc>
        <w:tc>
          <w:tcPr>
            <w:tcW w:w="992"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p>
        </w:tc>
        <w:tc>
          <w:tcPr>
            <w:tcW w:w="993" w:type="dxa"/>
            <w:tcBorders>
              <w:top w:val="nil"/>
              <w:left w:val="nil"/>
              <w:bottom w:val="single" w:color="000000" w:sz="4" w:space="0"/>
              <w:right w:val="single" w:color="000000" w:sz="4" w:space="0"/>
            </w:tcBorders>
          </w:tcPr>
          <w:p>
            <w:pPr>
              <w:widowControl/>
              <w:jc w:val="center"/>
              <w:rPr>
                <w:rFonts w:ascii="宋体" w:hAnsi="宋体" w:cs="宋体"/>
                <w:b/>
                <w:bCs/>
                <w:kern w:val="0"/>
                <w:sz w:val="20"/>
                <w:szCs w:val="20"/>
              </w:rPr>
            </w:pPr>
          </w:p>
        </w:tc>
        <w:tc>
          <w:tcPr>
            <w:tcW w:w="850" w:type="dxa"/>
            <w:tcBorders>
              <w:top w:val="nil"/>
              <w:left w:val="nil"/>
              <w:bottom w:val="single" w:color="000000" w:sz="4" w:space="0"/>
              <w:right w:val="single" w:color="000000"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98" w:type="dxa"/>
            <w:tcBorders>
              <w:top w:val="nil"/>
              <w:left w:val="nil"/>
              <w:bottom w:val="single" w:color="000000" w:sz="4" w:space="0"/>
              <w:right w:val="single" w:color="000000" w:sz="4" w:space="0"/>
            </w:tcBorders>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557" w:hRule="atLeast"/>
        </w:trPr>
        <w:tc>
          <w:tcPr>
            <w:tcW w:w="571"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宋体"/>
                <w:color w:val="FF0000"/>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color w:val="FF0000"/>
                <w:kern w:val="0"/>
                <w:sz w:val="20"/>
                <w:szCs w:val="20"/>
              </w:rPr>
            </w:pPr>
          </w:p>
        </w:tc>
      </w:tr>
      <w:tr>
        <w:tblPrEx>
          <w:tblCellMar>
            <w:top w:w="0" w:type="dxa"/>
            <w:left w:w="108" w:type="dxa"/>
            <w:bottom w:w="0" w:type="dxa"/>
            <w:right w:w="108" w:type="dxa"/>
          </w:tblCellMar>
        </w:tblPrEx>
        <w:trPr>
          <w:trHeight w:val="565" w:hRule="atLeast"/>
        </w:trPr>
        <w:tc>
          <w:tcPr>
            <w:tcW w:w="571"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44"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4"/>
              </w:rPr>
            </w:pPr>
          </w:p>
        </w:tc>
        <w:tc>
          <w:tcPr>
            <w:tcW w:w="3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6"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0"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55"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49"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FF0000"/>
                <w:szCs w:val="21"/>
              </w:rPr>
            </w:pPr>
          </w:p>
        </w:tc>
        <w:tc>
          <w:tcPr>
            <w:tcW w:w="396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olor w:val="FF0000"/>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FF0000"/>
                <w:szCs w:val="21"/>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FF0000"/>
                <w:szCs w:val="21"/>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71" w:type="dxa"/>
            <w:vAlign w:val="center"/>
          </w:tcPr>
          <w:p>
            <w:pPr>
              <w:spacing w:line="500" w:lineRule="exact"/>
              <w:jc w:val="center"/>
              <w:rPr>
                <w:rFonts w:ascii="仿宋_GB2312" w:hAnsi="宋体" w:eastAsia="仿宋_GB2312"/>
                <w:color w:val="000000"/>
                <w:sz w:val="28"/>
                <w:szCs w:val="28"/>
              </w:rPr>
            </w:pPr>
          </w:p>
        </w:tc>
        <w:tc>
          <w:tcPr>
            <w:tcW w:w="3965" w:type="dxa"/>
            <w:vAlign w:val="center"/>
          </w:tcPr>
          <w:p>
            <w:pPr>
              <w:spacing w:line="5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竣工期限</w:t>
            </w:r>
          </w:p>
        </w:tc>
        <w:tc>
          <w:tcPr>
            <w:tcW w:w="3544" w:type="dxa"/>
            <w:gridSpan w:val="4"/>
            <w:vAlign w:val="center"/>
          </w:tcPr>
          <w:p>
            <w:pPr>
              <w:spacing w:line="500" w:lineRule="exact"/>
              <w:rPr>
                <w:rFonts w:ascii="仿宋_GB2312" w:hAnsi="宋体" w:eastAsia="仿宋_GB2312"/>
                <w:color w:val="000000"/>
                <w:sz w:val="28"/>
                <w:szCs w:val="28"/>
              </w:rPr>
            </w:pPr>
          </w:p>
        </w:tc>
        <w:tc>
          <w:tcPr>
            <w:tcW w:w="1098" w:type="dxa"/>
          </w:tcPr>
          <w:p>
            <w:pPr>
              <w:spacing w:line="50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71" w:type="dxa"/>
            <w:vAlign w:val="center"/>
          </w:tcPr>
          <w:p>
            <w:pPr>
              <w:spacing w:line="500" w:lineRule="exact"/>
              <w:jc w:val="center"/>
              <w:rPr>
                <w:rFonts w:ascii="仿宋_GB2312" w:hAnsi="宋体" w:eastAsia="仿宋_GB2312"/>
                <w:color w:val="000000"/>
                <w:sz w:val="28"/>
                <w:szCs w:val="28"/>
              </w:rPr>
            </w:pPr>
          </w:p>
        </w:tc>
        <w:tc>
          <w:tcPr>
            <w:tcW w:w="3965" w:type="dxa"/>
            <w:vAlign w:val="center"/>
          </w:tcPr>
          <w:p>
            <w:pPr>
              <w:spacing w:line="5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质保期</w:t>
            </w:r>
          </w:p>
        </w:tc>
        <w:tc>
          <w:tcPr>
            <w:tcW w:w="3544" w:type="dxa"/>
            <w:gridSpan w:val="4"/>
            <w:vAlign w:val="center"/>
          </w:tcPr>
          <w:p>
            <w:pPr>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自竣工验收合格之日起至糖博会结束</w:t>
            </w:r>
          </w:p>
        </w:tc>
        <w:tc>
          <w:tcPr>
            <w:tcW w:w="1098" w:type="dxa"/>
          </w:tcPr>
          <w:p>
            <w:pPr>
              <w:spacing w:line="50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1" w:type="dxa"/>
            <w:vAlign w:val="center"/>
          </w:tcPr>
          <w:p>
            <w:pPr>
              <w:spacing w:line="500" w:lineRule="exact"/>
              <w:jc w:val="center"/>
              <w:rPr>
                <w:rFonts w:ascii="仿宋_GB2312" w:hAnsi="宋体" w:eastAsia="仿宋_GB2312"/>
                <w:color w:val="000000"/>
                <w:sz w:val="28"/>
                <w:szCs w:val="28"/>
              </w:rPr>
            </w:pPr>
          </w:p>
        </w:tc>
        <w:tc>
          <w:tcPr>
            <w:tcW w:w="3965" w:type="dxa"/>
            <w:vAlign w:val="center"/>
          </w:tcPr>
          <w:p>
            <w:pPr>
              <w:spacing w:line="5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开票方式</w:t>
            </w:r>
          </w:p>
        </w:tc>
        <w:tc>
          <w:tcPr>
            <w:tcW w:w="3544" w:type="dxa"/>
            <w:gridSpan w:val="4"/>
            <w:vAlign w:val="center"/>
          </w:tcPr>
          <w:p>
            <w:pPr>
              <w:spacing w:line="500" w:lineRule="exact"/>
              <w:rPr>
                <w:rFonts w:ascii="仿宋_GB2312" w:hAnsi="宋体" w:eastAsia="仿宋_GB2312"/>
                <w:color w:val="000000"/>
                <w:sz w:val="28"/>
                <w:szCs w:val="28"/>
              </w:rPr>
            </w:pPr>
          </w:p>
        </w:tc>
        <w:tc>
          <w:tcPr>
            <w:tcW w:w="1098" w:type="dxa"/>
          </w:tcPr>
          <w:p>
            <w:pPr>
              <w:spacing w:line="50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71" w:type="dxa"/>
            <w:vAlign w:val="center"/>
          </w:tcPr>
          <w:p>
            <w:pPr>
              <w:spacing w:line="500" w:lineRule="exact"/>
              <w:jc w:val="center"/>
              <w:rPr>
                <w:rFonts w:ascii="仿宋_GB2312" w:hAnsi="宋体" w:eastAsia="仿宋_GB2312"/>
                <w:color w:val="000000"/>
                <w:sz w:val="28"/>
                <w:szCs w:val="28"/>
              </w:rPr>
            </w:pPr>
          </w:p>
        </w:tc>
        <w:tc>
          <w:tcPr>
            <w:tcW w:w="3965" w:type="dxa"/>
            <w:vAlign w:val="center"/>
          </w:tcPr>
          <w:p>
            <w:pPr>
              <w:spacing w:line="5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其他</w:t>
            </w:r>
          </w:p>
        </w:tc>
        <w:tc>
          <w:tcPr>
            <w:tcW w:w="3544" w:type="dxa"/>
            <w:gridSpan w:val="4"/>
            <w:vAlign w:val="center"/>
          </w:tcPr>
          <w:p>
            <w:pPr>
              <w:spacing w:line="500" w:lineRule="exact"/>
              <w:rPr>
                <w:rFonts w:ascii="仿宋_GB2312" w:hAnsi="宋体" w:eastAsia="仿宋_GB2312"/>
                <w:color w:val="000000"/>
                <w:sz w:val="28"/>
                <w:szCs w:val="28"/>
              </w:rPr>
            </w:pPr>
          </w:p>
        </w:tc>
        <w:tc>
          <w:tcPr>
            <w:tcW w:w="1098" w:type="dxa"/>
          </w:tcPr>
          <w:p>
            <w:pPr>
              <w:spacing w:line="500" w:lineRule="exact"/>
              <w:rPr>
                <w:rFonts w:ascii="仿宋_GB2312" w:hAnsi="宋体" w:eastAsia="仿宋_GB2312"/>
                <w:color w:val="000000"/>
                <w:sz w:val="28"/>
                <w:szCs w:val="28"/>
              </w:rPr>
            </w:pPr>
          </w:p>
        </w:tc>
      </w:tr>
    </w:tbl>
    <w:p>
      <w:pPr>
        <w:spacing w:line="300" w:lineRule="auto"/>
        <w:rPr>
          <w:rFonts w:ascii="仿宋_GB2312" w:hAnsi="宋体" w:eastAsia="仿宋_GB2312"/>
          <w:color w:val="000000"/>
          <w:sz w:val="28"/>
          <w:szCs w:val="28"/>
        </w:rPr>
      </w:pPr>
      <w:r>
        <w:rPr>
          <w:rFonts w:hint="eastAsia" w:ascii="仿宋_GB2312" w:hAnsi="宋体" w:eastAsia="仿宋_GB2312"/>
          <w:color w:val="000000"/>
          <w:sz w:val="28"/>
          <w:szCs w:val="28"/>
        </w:rPr>
        <w:t>注：所有价格均用人民币表示，单位为元，精确到个数位。</w:t>
      </w:r>
    </w:p>
    <w:p>
      <w:pPr>
        <w:pStyle w:val="12"/>
        <w:spacing w:line="300" w:lineRule="auto"/>
        <w:ind w:firstLine="3640" w:firstLineChars="1300"/>
        <w:rPr>
          <w:rFonts w:ascii="仿宋_GB2312" w:hAnsi="宋体" w:eastAsia="仿宋_GB2312"/>
          <w:color w:val="000000"/>
          <w:sz w:val="28"/>
          <w:szCs w:val="28"/>
          <w:u w:val="single"/>
        </w:rPr>
      </w:pPr>
      <w:r>
        <w:rPr>
          <w:rFonts w:hint="eastAsia" w:ascii="仿宋_GB2312" w:hAnsi="宋体" w:eastAsia="仿宋_GB2312"/>
          <w:color w:val="000000"/>
          <w:sz w:val="28"/>
          <w:szCs w:val="28"/>
        </w:rPr>
        <w:t>授权代表（签字）:</w:t>
      </w:r>
      <w:r>
        <w:rPr>
          <w:rFonts w:hint="eastAsia" w:ascii="仿宋_GB2312" w:hAnsi="宋体" w:eastAsia="仿宋_GB2312"/>
          <w:color w:val="000000"/>
          <w:sz w:val="28"/>
          <w:szCs w:val="28"/>
          <w:u w:val="single"/>
        </w:rPr>
        <w:t xml:space="preserve">              </w:t>
      </w:r>
    </w:p>
    <w:p>
      <w:pPr>
        <w:pStyle w:val="12"/>
        <w:spacing w:line="300" w:lineRule="auto"/>
        <w:ind w:firstLine="3640" w:firstLineChars="130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p>
    <w:p>
      <w:pPr>
        <w:pStyle w:val="12"/>
        <w:spacing w:line="300" w:lineRule="auto"/>
        <w:ind w:firstLine="3640" w:firstLineChars="1300"/>
        <w:rPr>
          <w:rFonts w:ascii="仿宋_GB2312" w:hAnsi="宋体" w:eastAsia="仿宋_GB2312"/>
          <w:color w:val="000000"/>
          <w:sz w:val="28"/>
          <w:szCs w:val="28"/>
        </w:rPr>
      </w:pPr>
      <w:r>
        <w:rPr>
          <w:rFonts w:hint="eastAsia" w:ascii="仿宋_GB2312" w:hAnsi="宋体" w:eastAsia="仿宋_GB2312"/>
          <w:color w:val="000000"/>
          <w:sz w:val="28"/>
          <w:szCs w:val="28"/>
        </w:rPr>
        <w:t>报价时间：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日 </w:t>
      </w:r>
    </w:p>
    <w:p>
      <w:pPr>
        <w:pStyle w:val="12"/>
        <w:spacing w:line="300" w:lineRule="auto"/>
        <w:ind w:firstLine="3640" w:firstLineChars="1300"/>
        <w:rPr>
          <w:rFonts w:ascii="仿宋_GB2312" w:hAnsi="宋体" w:eastAsia="仿宋_GB2312"/>
          <w:color w:val="000000"/>
          <w:sz w:val="28"/>
          <w:szCs w:val="28"/>
        </w:rPr>
      </w:pPr>
    </w:p>
    <w:p>
      <w:pPr>
        <w:spacing w:line="300" w:lineRule="auto"/>
        <w:rPr>
          <w:rFonts w:hint="eastAsia" w:ascii="仿宋_GB2312" w:hAnsi="宋体" w:eastAsia="仿宋_GB2312"/>
          <w:b/>
          <w:color w:val="000000"/>
          <w:szCs w:val="21"/>
        </w:rPr>
      </w:pPr>
    </w:p>
    <w:p>
      <w:pPr>
        <w:spacing w:line="300" w:lineRule="auto"/>
        <w:rPr>
          <w:rFonts w:hint="eastAsia" w:ascii="仿宋_GB2312" w:hAnsi="宋体" w:eastAsia="仿宋_GB2312"/>
          <w:b/>
          <w:color w:val="000000"/>
          <w:szCs w:val="21"/>
        </w:rPr>
      </w:pPr>
    </w:p>
    <w:p>
      <w:pPr>
        <w:spacing w:line="300" w:lineRule="auto"/>
        <w:rPr>
          <w:rFonts w:ascii="仿宋_GB2312" w:hAnsi="宋体" w:eastAsia="仿宋_GB2312"/>
          <w:b/>
          <w:color w:val="000000"/>
          <w:szCs w:val="21"/>
        </w:rPr>
      </w:pPr>
      <w:r>
        <w:rPr>
          <w:rFonts w:hint="eastAsia" w:ascii="仿宋_GB2312" w:hAnsi="宋体" w:eastAsia="仿宋_GB2312"/>
          <w:b/>
          <w:color w:val="000000"/>
          <w:szCs w:val="21"/>
        </w:rPr>
        <w:t>附件五</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广西博览文化传媒有限公司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2"/>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2"/>
        <w:spacing w:line="300" w:lineRule="auto"/>
        <w:rPr>
          <w:rFonts w:ascii="仿宋_GB2312" w:hAnsi="宋体" w:eastAsia="仿宋_GB2312"/>
          <w:color w:val="000000"/>
          <w:kern w:val="2"/>
          <w:sz w:val="24"/>
          <w:szCs w:val="24"/>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int="eastAsia" w:hAnsi="宋体"/>
          <w:b/>
          <w:color w:val="000000"/>
        </w:rPr>
      </w:pPr>
    </w:p>
    <w:p>
      <w:pPr>
        <w:pStyle w:val="12"/>
        <w:spacing w:line="300" w:lineRule="auto"/>
        <w:rPr>
          <w:rFonts w:hint="eastAsia" w:hAnsi="宋体"/>
          <w:b/>
          <w:color w:val="000000"/>
        </w:rPr>
      </w:pPr>
    </w:p>
    <w:p>
      <w:pPr>
        <w:pStyle w:val="12"/>
        <w:spacing w:line="300" w:lineRule="auto"/>
        <w:rPr>
          <w:rFonts w:hAnsi="宋体"/>
          <w:b/>
          <w:color w:val="000000"/>
        </w:rPr>
      </w:pPr>
      <w:r>
        <w:rPr>
          <w:rFonts w:hint="eastAsia" w:hAnsi="宋体"/>
          <w:b/>
          <w:color w:val="000000"/>
        </w:rPr>
        <w:t>附件六</w:t>
      </w:r>
    </w:p>
    <w:p>
      <w:pPr>
        <w:pStyle w:val="12"/>
        <w:spacing w:line="300" w:lineRule="auto"/>
        <w:rPr>
          <w:rFonts w:hAnsi="宋体"/>
          <w:b/>
          <w:color w:val="000000"/>
        </w:rPr>
      </w:pP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广西博览文化传媒有限公司：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2"/>
        <w:spacing w:line="4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 xml:space="preserve">                                日期：   年  月  日</w:t>
      </w:r>
    </w:p>
    <w:p>
      <w:pPr>
        <w:rPr>
          <w:rFonts w:ascii="仿宋" w:hAnsi="仿宋" w:eastAsia="仿宋"/>
          <w:b/>
          <w:sz w:val="32"/>
          <w:szCs w:val="32"/>
        </w:rPr>
      </w:pPr>
    </w:p>
    <w:p>
      <w:pPr>
        <w:rPr>
          <w:rFonts w:eastAsia="仿宋_GB2312"/>
          <w:sz w:val="30"/>
          <w:szCs w:val="30"/>
        </w:rPr>
      </w:pPr>
    </w:p>
    <w:tbl>
      <w:tblPr>
        <w:tblStyle w:val="2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4"/>
        <w:gridCol w:w="751"/>
        <w:gridCol w:w="491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0" w:type="dxa"/>
            <w:gridSpan w:val="5"/>
          </w:tcPr>
          <w:p>
            <w:pPr>
              <w:jc w:val="center"/>
              <w:rPr>
                <w:rFonts w:eastAsia="仿宋_GB2312"/>
                <w:b/>
                <w:sz w:val="24"/>
              </w:rPr>
            </w:pPr>
            <w:r>
              <w:rPr>
                <w:rFonts w:hint="eastAsia" w:ascii="仿宋_GB2312" w:hAnsi="仿宋" w:eastAsia="仿宋_GB2312" w:cstheme="minorEastAsia"/>
                <w:b/>
                <w:sz w:val="24"/>
              </w:rPr>
              <w:t>全国烟草行业企管现场会相关现场设计布展采购项目</w:t>
            </w:r>
            <w:r>
              <w:rPr>
                <w:rFonts w:hint="eastAsia" w:eastAsia="仿宋_GB2312"/>
                <w:b/>
                <w:sz w:val="24"/>
              </w:rPr>
              <w:t>评标计分表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10" w:type="dxa"/>
            <w:gridSpan w:val="2"/>
          </w:tcPr>
          <w:p>
            <w:pPr>
              <w:jc w:val="center"/>
              <w:rPr>
                <w:rFonts w:eastAsia="仿宋_GB2312"/>
                <w:sz w:val="24"/>
              </w:rPr>
            </w:pPr>
            <w:r>
              <w:rPr>
                <w:rFonts w:hint="eastAsia" w:eastAsia="仿宋_GB2312"/>
                <w:sz w:val="24"/>
              </w:rPr>
              <w:t>评分内容</w:t>
            </w:r>
          </w:p>
        </w:tc>
        <w:tc>
          <w:tcPr>
            <w:tcW w:w="751" w:type="dxa"/>
          </w:tcPr>
          <w:p>
            <w:pPr>
              <w:jc w:val="center"/>
              <w:rPr>
                <w:rFonts w:eastAsia="仿宋_GB2312"/>
                <w:sz w:val="24"/>
              </w:rPr>
            </w:pPr>
            <w:r>
              <w:rPr>
                <w:rFonts w:hint="eastAsia" w:eastAsia="仿宋_GB2312"/>
                <w:sz w:val="24"/>
              </w:rPr>
              <w:t>分值</w:t>
            </w:r>
          </w:p>
        </w:tc>
        <w:tc>
          <w:tcPr>
            <w:tcW w:w="4919" w:type="dxa"/>
          </w:tcPr>
          <w:p>
            <w:pPr>
              <w:jc w:val="center"/>
              <w:rPr>
                <w:rFonts w:eastAsia="仿宋_GB2312"/>
                <w:sz w:val="24"/>
              </w:rPr>
            </w:pPr>
            <w:r>
              <w:rPr>
                <w:rFonts w:hint="eastAsia" w:eastAsia="仿宋_GB2312"/>
                <w:sz w:val="24"/>
              </w:rPr>
              <w:t>计分标准</w:t>
            </w:r>
          </w:p>
        </w:tc>
        <w:tc>
          <w:tcPr>
            <w:tcW w:w="850" w:type="dxa"/>
          </w:tcPr>
          <w:p>
            <w:pPr>
              <w:jc w:val="center"/>
              <w:rPr>
                <w:rFonts w:eastAsia="仿宋_GB2312"/>
                <w:sz w:val="24"/>
              </w:rPr>
            </w:pPr>
            <w:r>
              <w:rPr>
                <w:rFonts w:hint="eastAsia"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410" w:type="dxa"/>
            <w:gridSpan w:val="2"/>
            <w:vAlign w:val="center"/>
          </w:tcPr>
          <w:p>
            <w:pPr>
              <w:jc w:val="center"/>
              <w:rPr>
                <w:rFonts w:eastAsia="仿宋_GB2312"/>
                <w:sz w:val="24"/>
              </w:rPr>
            </w:pPr>
            <w:r>
              <w:rPr>
                <w:rFonts w:hint="eastAsia" w:eastAsia="仿宋_GB2312"/>
                <w:sz w:val="24"/>
              </w:rPr>
              <w:t>1、投标报价</w:t>
            </w:r>
          </w:p>
        </w:tc>
        <w:tc>
          <w:tcPr>
            <w:tcW w:w="751" w:type="dxa"/>
            <w:vAlign w:val="center"/>
          </w:tcPr>
          <w:p>
            <w:pPr>
              <w:jc w:val="center"/>
              <w:rPr>
                <w:rFonts w:hint="default" w:eastAsia="仿宋_GB2312"/>
                <w:b/>
                <w:bCs/>
                <w:sz w:val="24"/>
                <w:lang w:val="en-US" w:eastAsia="zh-CN"/>
              </w:rPr>
            </w:pPr>
            <w:r>
              <w:rPr>
                <w:rFonts w:hint="eastAsia" w:eastAsia="仿宋_GB2312"/>
                <w:b/>
                <w:bCs/>
                <w:sz w:val="24"/>
                <w:lang w:val="en-US" w:eastAsia="zh-CN"/>
              </w:rPr>
              <w:t>25</w:t>
            </w:r>
          </w:p>
        </w:tc>
        <w:tc>
          <w:tcPr>
            <w:tcW w:w="4919" w:type="dxa"/>
          </w:tcPr>
          <w:p>
            <w:pPr>
              <w:rPr>
                <w:rFonts w:ascii="仿宋_GB2312" w:eastAsia="仿宋_GB2312"/>
                <w:sz w:val="24"/>
              </w:rPr>
            </w:pPr>
            <w:r>
              <w:rPr>
                <w:rFonts w:hint="eastAsia" w:ascii="仿宋_GB2312" w:eastAsia="仿宋_GB2312"/>
                <w:sz w:val="24"/>
              </w:rPr>
              <w:t>取各评标价格的算术平均值作为基准价格。投标人的评标价格等于评标基准价格的为满分（基准分），投标人的评标价格每高于评标基准价格1%的减1分，直至减至0分；投标人的评标价格每低于评标基准价格1%的加1分。</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76" w:type="dxa"/>
            <w:vMerge w:val="restart"/>
            <w:vAlign w:val="center"/>
          </w:tcPr>
          <w:p>
            <w:pPr>
              <w:jc w:val="center"/>
              <w:rPr>
                <w:rFonts w:eastAsia="仿宋_GB2312"/>
                <w:sz w:val="24"/>
              </w:rPr>
            </w:pPr>
            <w:r>
              <w:rPr>
                <w:rFonts w:hint="eastAsia" w:eastAsia="仿宋_GB2312"/>
                <w:sz w:val="24"/>
              </w:rPr>
              <w:t>2、方案设计</w:t>
            </w:r>
          </w:p>
        </w:tc>
        <w:tc>
          <w:tcPr>
            <w:tcW w:w="1834" w:type="dxa"/>
            <w:vAlign w:val="center"/>
          </w:tcPr>
          <w:p>
            <w:pPr>
              <w:jc w:val="center"/>
              <w:rPr>
                <w:rFonts w:eastAsia="仿宋_GB2312"/>
                <w:sz w:val="24"/>
              </w:rPr>
            </w:pPr>
            <w:r>
              <w:rPr>
                <w:rFonts w:hint="eastAsia" w:eastAsia="仿宋_GB2312"/>
                <w:sz w:val="24"/>
              </w:rPr>
              <w:t>企业品牌形象表现、主题概念挖掘和阐释</w:t>
            </w:r>
          </w:p>
        </w:tc>
        <w:tc>
          <w:tcPr>
            <w:tcW w:w="751" w:type="dxa"/>
            <w:vAlign w:val="center"/>
          </w:tcPr>
          <w:p>
            <w:pPr>
              <w:jc w:val="center"/>
              <w:rPr>
                <w:rFonts w:eastAsia="仿宋_GB2312"/>
                <w:b/>
                <w:bCs/>
                <w:sz w:val="24"/>
              </w:rPr>
            </w:pPr>
            <w:r>
              <w:rPr>
                <w:rFonts w:hint="eastAsia" w:eastAsia="仿宋_GB2312"/>
                <w:b/>
                <w:bCs/>
                <w:sz w:val="24"/>
              </w:rPr>
              <w:t>20</w:t>
            </w:r>
          </w:p>
        </w:tc>
        <w:tc>
          <w:tcPr>
            <w:tcW w:w="4919" w:type="dxa"/>
          </w:tcPr>
          <w:p>
            <w:pPr>
              <w:jc w:val="left"/>
              <w:rPr>
                <w:rFonts w:ascii="仿宋_GB2312" w:eastAsia="仿宋_GB2312"/>
                <w:sz w:val="24"/>
              </w:rPr>
            </w:pPr>
            <w:r>
              <w:rPr>
                <w:rFonts w:hint="eastAsia" w:ascii="仿宋_GB2312" w:eastAsia="仿宋_GB2312"/>
                <w:sz w:val="24"/>
              </w:rPr>
              <w:t>20分：具有极强的独创性，突出表现了本公司参会主题的特质；                                 10分：具有一定的独创性，基本表现了本公司参会主题的特质；                                                                      5分：不具有独创性，完全没有表现本公司参会主题的特质。</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76" w:type="dxa"/>
            <w:vMerge w:val="continue"/>
          </w:tcPr>
          <w:p>
            <w:pPr>
              <w:rPr>
                <w:rFonts w:eastAsia="仿宋_GB2312"/>
                <w:sz w:val="24"/>
              </w:rPr>
            </w:pPr>
          </w:p>
        </w:tc>
        <w:tc>
          <w:tcPr>
            <w:tcW w:w="1834" w:type="dxa"/>
            <w:vAlign w:val="center"/>
          </w:tcPr>
          <w:p>
            <w:pPr>
              <w:jc w:val="center"/>
              <w:rPr>
                <w:rFonts w:eastAsia="仿宋_GB2312"/>
                <w:sz w:val="24"/>
              </w:rPr>
            </w:pPr>
            <w:r>
              <w:rPr>
                <w:rFonts w:hint="eastAsia" w:eastAsia="仿宋_GB2312"/>
                <w:sz w:val="24"/>
              </w:rPr>
              <w:t>视觉表现力及辨识度</w:t>
            </w:r>
          </w:p>
        </w:tc>
        <w:tc>
          <w:tcPr>
            <w:tcW w:w="751" w:type="dxa"/>
            <w:vAlign w:val="center"/>
          </w:tcPr>
          <w:p>
            <w:pPr>
              <w:jc w:val="center"/>
              <w:rPr>
                <w:rFonts w:eastAsia="仿宋_GB2312"/>
                <w:b/>
                <w:bCs/>
                <w:sz w:val="24"/>
              </w:rPr>
            </w:pPr>
            <w:r>
              <w:rPr>
                <w:rFonts w:hint="eastAsia" w:eastAsia="仿宋_GB2312"/>
                <w:b/>
                <w:bCs/>
                <w:sz w:val="24"/>
              </w:rPr>
              <w:t>20</w:t>
            </w:r>
          </w:p>
        </w:tc>
        <w:tc>
          <w:tcPr>
            <w:tcW w:w="4919" w:type="dxa"/>
          </w:tcPr>
          <w:p>
            <w:pPr>
              <w:jc w:val="left"/>
              <w:rPr>
                <w:rFonts w:ascii="仿宋_GB2312" w:eastAsia="仿宋_GB2312"/>
                <w:sz w:val="24"/>
              </w:rPr>
            </w:pPr>
            <w:r>
              <w:rPr>
                <w:rFonts w:hint="eastAsia" w:ascii="仿宋_GB2312" w:eastAsia="仿宋_GB2312"/>
                <w:sz w:val="24"/>
              </w:rPr>
              <w:t xml:space="preserve">20分：极具独创性，完全符合项目定位及形象表现，且留下深刻印象；                                                                   10分：具有一定的独创性，基本符合项目定位及形象表现，有一定的印象；                                                               5分：不具独创性，不符合项目定位及形象表现，不易记住。       </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76" w:type="dxa"/>
            <w:vMerge w:val="continue"/>
          </w:tcPr>
          <w:p>
            <w:pPr>
              <w:rPr>
                <w:rFonts w:eastAsia="仿宋_GB2312"/>
                <w:sz w:val="24"/>
              </w:rPr>
            </w:pPr>
          </w:p>
        </w:tc>
        <w:tc>
          <w:tcPr>
            <w:tcW w:w="1834" w:type="dxa"/>
            <w:vAlign w:val="center"/>
          </w:tcPr>
          <w:p>
            <w:pPr>
              <w:jc w:val="center"/>
              <w:rPr>
                <w:rFonts w:eastAsia="仿宋_GB2312"/>
                <w:sz w:val="24"/>
              </w:rPr>
            </w:pPr>
            <w:r>
              <w:rPr>
                <w:rFonts w:hint="eastAsia" w:eastAsia="仿宋_GB2312"/>
                <w:sz w:val="24"/>
              </w:rPr>
              <w:t>展</w:t>
            </w:r>
            <w:r>
              <w:rPr>
                <w:rFonts w:hint="eastAsia" w:eastAsia="仿宋_GB2312"/>
                <w:sz w:val="24"/>
                <w:lang w:eastAsia="zh-CN"/>
              </w:rPr>
              <w:t>区</w:t>
            </w:r>
            <w:r>
              <w:rPr>
                <w:rFonts w:hint="eastAsia" w:eastAsia="仿宋_GB2312"/>
                <w:sz w:val="24"/>
              </w:rPr>
              <w:t>布局合理性</w:t>
            </w:r>
          </w:p>
        </w:tc>
        <w:tc>
          <w:tcPr>
            <w:tcW w:w="751" w:type="dxa"/>
            <w:vAlign w:val="center"/>
          </w:tcPr>
          <w:p>
            <w:pPr>
              <w:jc w:val="center"/>
              <w:rPr>
                <w:rFonts w:eastAsia="仿宋_GB2312"/>
                <w:b/>
                <w:bCs/>
                <w:sz w:val="24"/>
              </w:rPr>
            </w:pPr>
            <w:r>
              <w:rPr>
                <w:rFonts w:hint="eastAsia" w:eastAsia="仿宋_GB2312"/>
                <w:b/>
                <w:bCs/>
                <w:sz w:val="24"/>
              </w:rPr>
              <w:t>20</w:t>
            </w:r>
          </w:p>
        </w:tc>
        <w:tc>
          <w:tcPr>
            <w:tcW w:w="4919" w:type="dxa"/>
            <w:vAlign w:val="center"/>
          </w:tcPr>
          <w:p>
            <w:pPr>
              <w:jc w:val="left"/>
              <w:rPr>
                <w:rFonts w:ascii="仿宋_GB2312" w:eastAsia="仿宋_GB2312"/>
                <w:sz w:val="24"/>
              </w:rPr>
            </w:pPr>
            <w:r>
              <w:rPr>
                <w:rFonts w:hint="eastAsia" w:ascii="仿宋_GB2312" w:eastAsia="仿宋_GB2312"/>
                <w:sz w:val="24"/>
              </w:rPr>
              <w:t>20分：具有较大的展示面，动线合理，完全符合展示需要；                                                                   10分：具有一定的展示面，动线基本合理，基本符合展示需要；                                                               5分： 展示面设计不合理，内部动线安排不合理。</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color w:val="auto"/>
                <w:sz w:val="24"/>
              </w:rPr>
            </w:pPr>
            <w:r>
              <w:rPr>
                <w:rFonts w:hint="eastAsia" w:ascii="仿宋_GB2312" w:eastAsia="仿宋_GB2312"/>
                <w:color w:val="auto"/>
                <w:sz w:val="24"/>
              </w:rPr>
              <w:t>3.团队实力</w:t>
            </w:r>
          </w:p>
        </w:tc>
        <w:tc>
          <w:tcPr>
            <w:tcW w:w="751" w:type="dxa"/>
            <w:vAlign w:val="center"/>
          </w:tcPr>
          <w:p>
            <w:pPr>
              <w:jc w:val="center"/>
              <w:rPr>
                <w:rFonts w:ascii="仿宋_GB2312" w:eastAsia="仿宋_GB2312"/>
                <w:color w:val="auto"/>
                <w:sz w:val="24"/>
              </w:rPr>
            </w:pPr>
            <w:r>
              <w:rPr>
                <w:rFonts w:hint="eastAsia" w:ascii="仿宋_GB2312" w:eastAsia="仿宋_GB2312"/>
                <w:b/>
                <w:bCs/>
                <w:color w:val="auto"/>
                <w:sz w:val="24"/>
              </w:rPr>
              <w:t>5</w:t>
            </w:r>
          </w:p>
        </w:tc>
        <w:tc>
          <w:tcPr>
            <w:tcW w:w="4919" w:type="dxa"/>
            <w:vAlign w:val="center"/>
          </w:tcPr>
          <w:p>
            <w:pPr>
              <w:rPr>
                <w:rFonts w:ascii="仿宋_GB2312" w:eastAsia="仿宋_GB2312"/>
                <w:color w:val="auto"/>
                <w:sz w:val="24"/>
              </w:rPr>
            </w:pPr>
            <w:r>
              <w:rPr>
                <w:rFonts w:hint="eastAsia" w:ascii="仿宋_GB2312" w:eastAsia="仿宋_GB2312"/>
                <w:color w:val="auto"/>
                <w:sz w:val="24"/>
              </w:rPr>
              <w:t>团队管理人员结构完整,经验丰富，项目经理同类项目工作经验满5年以上得2分，3年以上得1分，3年以下不得分。最多加5分。</w:t>
            </w:r>
          </w:p>
        </w:tc>
        <w:tc>
          <w:tcPr>
            <w:tcW w:w="850" w:type="dxa"/>
          </w:tcPr>
          <w:p>
            <w:pPr>
              <w:rPr>
                <w:rFonts w:eastAsia="仿宋_GB2312"/>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sz w:val="24"/>
              </w:rPr>
            </w:pPr>
            <w:r>
              <w:rPr>
                <w:rFonts w:hint="eastAsia" w:ascii="仿宋_GB2312" w:eastAsia="仿宋_GB2312"/>
                <w:sz w:val="24"/>
              </w:rPr>
              <w:t>4.供应商类似服务的业绩</w:t>
            </w:r>
          </w:p>
        </w:tc>
        <w:tc>
          <w:tcPr>
            <w:tcW w:w="751" w:type="dxa"/>
            <w:vAlign w:val="center"/>
          </w:tcPr>
          <w:p>
            <w:pPr>
              <w:jc w:val="center"/>
              <w:rPr>
                <w:rFonts w:ascii="仿宋_GB2312" w:eastAsia="仿宋_GB2312"/>
                <w:b/>
                <w:bCs/>
                <w:sz w:val="24"/>
              </w:rPr>
            </w:pPr>
            <w:r>
              <w:rPr>
                <w:rFonts w:hint="eastAsia" w:ascii="仿宋_GB2312" w:eastAsia="仿宋_GB2312"/>
                <w:b/>
                <w:bCs/>
                <w:sz w:val="24"/>
              </w:rPr>
              <w:t>5</w:t>
            </w:r>
          </w:p>
        </w:tc>
        <w:tc>
          <w:tcPr>
            <w:tcW w:w="4919" w:type="dxa"/>
            <w:vAlign w:val="center"/>
          </w:tcPr>
          <w:p>
            <w:pPr>
              <w:rPr>
                <w:rFonts w:ascii="仿宋_GB2312" w:eastAsia="仿宋_GB2312"/>
                <w:sz w:val="24"/>
              </w:rPr>
            </w:pPr>
            <w:r>
              <w:rPr>
                <w:rFonts w:hint="eastAsia" w:ascii="仿宋_GB2312" w:eastAsia="仿宋_GB2312"/>
                <w:sz w:val="24"/>
              </w:rPr>
              <w:t>提供类似服务的业绩（主要用户、中标通知书复印件、供货合同等）</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sz w:val="24"/>
              </w:rPr>
            </w:pPr>
            <w:r>
              <w:rPr>
                <w:rFonts w:hint="eastAsia" w:ascii="仿宋_GB2312" w:eastAsia="仿宋_GB2312"/>
                <w:sz w:val="24"/>
              </w:rPr>
              <w:t>5.提供设备和专业技术能力证明</w:t>
            </w:r>
          </w:p>
        </w:tc>
        <w:tc>
          <w:tcPr>
            <w:tcW w:w="751" w:type="dxa"/>
            <w:vAlign w:val="center"/>
          </w:tcPr>
          <w:p>
            <w:pPr>
              <w:jc w:val="center"/>
              <w:rPr>
                <w:rFonts w:ascii="仿宋_GB2312" w:eastAsia="仿宋_GB2312"/>
                <w:b/>
                <w:bCs/>
                <w:sz w:val="24"/>
              </w:rPr>
            </w:pPr>
            <w:r>
              <w:rPr>
                <w:rFonts w:hint="eastAsia" w:ascii="仿宋_GB2312" w:eastAsia="仿宋_GB2312"/>
                <w:b/>
                <w:bCs/>
                <w:sz w:val="24"/>
              </w:rPr>
              <w:t>5</w:t>
            </w:r>
          </w:p>
        </w:tc>
        <w:tc>
          <w:tcPr>
            <w:tcW w:w="4919" w:type="dxa"/>
            <w:vAlign w:val="center"/>
          </w:tcPr>
          <w:p>
            <w:pPr>
              <w:rPr>
                <w:rFonts w:ascii="仿宋_GB2312" w:eastAsia="仿宋_GB2312"/>
                <w:sz w:val="24"/>
              </w:rPr>
            </w:pPr>
            <w:r>
              <w:rPr>
                <w:rFonts w:hint="eastAsia" w:ascii="仿宋_GB2312" w:eastAsia="仿宋_GB2312"/>
                <w:sz w:val="24"/>
              </w:rPr>
              <w:t>具备履行合同所必需的设备和专业技术能力的证明材料，提供全部相关证明得2分，未提供不得分，最多加5分。</w:t>
            </w:r>
          </w:p>
        </w:tc>
        <w:tc>
          <w:tcPr>
            <w:tcW w:w="850"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10" w:type="dxa"/>
            <w:gridSpan w:val="2"/>
          </w:tcPr>
          <w:p>
            <w:pPr>
              <w:jc w:val="center"/>
              <w:rPr>
                <w:rFonts w:eastAsia="仿宋_GB2312"/>
                <w:b/>
                <w:bCs/>
                <w:sz w:val="24"/>
              </w:rPr>
            </w:pPr>
            <w:r>
              <w:rPr>
                <w:rFonts w:hint="eastAsia" w:eastAsia="仿宋_GB2312"/>
                <w:b/>
                <w:bCs/>
                <w:sz w:val="24"/>
              </w:rPr>
              <w:t>总得分</w:t>
            </w:r>
          </w:p>
        </w:tc>
        <w:tc>
          <w:tcPr>
            <w:tcW w:w="751" w:type="dxa"/>
            <w:vAlign w:val="center"/>
          </w:tcPr>
          <w:p>
            <w:pPr>
              <w:jc w:val="center"/>
              <w:rPr>
                <w:rFonts w:eastAsia="仿宋_GB2312"/>
                <w:b/>
                <w:bCs/>
                <w:sz w:val="24"/>
              </w:rPr>
            </w:pPr>
            <w:r>
              <w:rPr>
                <w:rFonts w:hint="eastAsia" w:eastAsia="仿宋_GB2312"/>
                <w:b/>
                <w:bCs/>
                <w:sz w:val="24"/>
              </w:rPr>
              <w:t>100</w:t>
            </w:r>
          </w:p>
        </w:tc>
        <w:tc>
          <w:tcPr>
            <w:tcW w:w="4919" w:type="dxa"/>
          </w:tcPr>
          <w:p>
            <w:pPr>
              <w:rPr>
                <w:rFonts w:eastAsia="仿宋_GB2312"/>
                <w:sz w:val="24"/>
              </w:rPr>
            </w:pPr>
            <w:r>
              <w:rPr>
                <w:rFonts w:hint="eastAsia" w:eastAsia="仿宋_GB2312"/>
                <w:sz w:val="24"/>
              </w:rPr>
              <w:t>　</w:t>
            </w:r>
          </w:p>
        </w:tc>
        <w:tc>
          <w:tcPr>
            <w:tcW w:w="850" w:type="dxa"/>
          </w:tcPr>
          <w:p>
            <w:pPr>
              <w:rPr>
                <w:rFonts w:eastAsia="仿宋_GB2312"/>
                <w:sz w:val="24"/>
              </w:rPr>
            </w:pPr>
            <w:r>
              <w:rPr>
                <w:rFonts w:hint="eastAsia" w:eastAsia="仿宋_GB2312"/>
                <w:sz w:val="24"/>
              </w:rPr>
              <w:t>　</w:t>
            </w:r>
          </w:p>
        </w:tc>
      </w:tr>
    </w:tbl>
    <w:p>
      <w:pPr>
        <w:rPr>
          <w:rFonts w:eastAsia="仿宋_GB2312"/>
          <w:sz w:val="30"/>
          <w:szCs w:val="30"/>
        </w:rPr>
      </w:pPr>
    </w:p>
    <w:p>
      <w:pPr>
        <w:pStyle w:val="12"/>
        <w:spacing w:line="520" w:lineRule="exact"/>
        <w:ind w:firstLine="610" w:firstLineChars="190"/>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2"/>
        <w:spacing w:line="360" w:lineRule="exact"/>
        <w:ind w:firstLine="839" w:firstLineChars="190"/>
        <w:jc w:val="center"/>
        <w:rPr>
          <w:rFonts w:hint="eastAsia" w:ascii="仿宋_GB2312" w:eastAsia="仿宋_GB2312"/>
          <w:b/>
          <w:sz w:val="44"/>
          <w:szCs w:val="44"/>
        </w:rPr>
      </w:pPr>
    </w:p>
    <w:p>
      <w:pPr>
        <w:pStyle w:val="12"/>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华文中宋" w:hAnsi="华文中宋" w:eastAsia="华文中宋" w:cs="华文中宋"/>
          <w:sz w:val="44"/>
          <w:szCs w:val="44"/>
        </w:rPr>
      </w:pPr>
      <w:r>
        <w:rPr>
          <w:rFonts w:hint="eastAsia" w:ascii="Times New Roman" w:hAnsi="Times New Roman" w:eastAsia="华文中宋"/>
          <w:sz w:val="44"/>
          <w:szCs w:val="44"/>
        </w:rPr>
        <w:t>防城港嘉乐城美陈设计方案采购项目</w:t>
      </w:r>
      <w:r>
        <w:rPr>
          <w:rFonts w:hint="eastAsia" w:ascii="华文中宋" w:hAnsi="华文中宋" w:eastAsia="华文中宋" w:cs="华文中宋"/>
          <w:sz w:val="44"/>
          <w:szCs w:val="44"/>
        </w:rPr>
        <w:t>合同书</w:t>
      </w:r>
    </w:p>
    <w:p>
      <w:pPr>
        <w:ind w:firstLine="3040" w:firstLineChars="950"/>
        <w:rPr>
          <w:rFonts w:hint="eastAsia"/>
          <w:sz w:val="32"/>
          <w:szCs w:val="32"/>
        </w:rPr>
      </w:pP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发包方（甲方）：广西博览文化传媒有限公司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承包方（乙方）：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ascii="仿宋_GB2312" w:hAnsi="仿宋_GB2312" w:eastAsia="仿宋_GB2312" w:cs="仿宋_GB2312"/>
          <w:sz w:val="32"/>
          <w:szCs w:val="32"/>
        </w:rPr>
      </w:pPr>
      <w:r>
        <w:rPr>
          <w:rFonts w:hint="eastAsia"/>
          <w:sz w:val="24"/>
        </w:rPr>
        <w:t xml:space="preserve">  </w:t>
      </w:r>
      <w:r>
        <w:rPr>
          <w:rFonts w:hint="eastAsia" w:ascii="仿宋_GB2312" w:hAnsi="仿宋_GB2312" w:eastAsia="仿宋_GB2312" w:cs="仿宋_GB2312"/>
          <w:sz w:val="32"/>
          <w:szCs w:val="32"/>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1.项目地点：防城港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2.项目内容：防城港嘉乐城美陈设计方案采购项目</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3.项目范围：施工及维护</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4.承包方式：包工包料。</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5.完成工期：</w:t>
      </w:r>
      <w:r>
        <w:rPr>
          <w:rFonts w:hint="eastAsia" w:ascii="仿宋_GB2312" w:hAnsi="仿宋_GB2312" w:eastAsia="仿宋_GB2312" w:cs="仿宋_GB2312"/>
          <w:sz w:val="32"/>
          <w:szCs w:val="32"/>
          <w:lang w:val="en-US" w:eastAsia="zh-CN"/>
        </w:rPr>
        <w:t>2020年1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bookmarkStart w:id="8" w:name="_GoBack"/>
      <w:bookmarkEnd w:id="8"/>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前</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1.开工前，向乙方进行现场交底。向乙方提供施工所需的水源、电源。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为甲方代表，负责合同履行。对工程质量、进度进行监督检查，办理验收、变更、登记手续和其他事宜。</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3.甲方应按合同约定条款履行合约，如因甲方原因造成工期延误责任由甲方承担责任，乙方有权顺延工期。</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1.乙方在合同签订后2日之内提供施工方案和进度计划，如不能按约定时间完成，乙方必须提前1日说明与甲方进行友好协商。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驻工地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4.在施工过程中，必须服从甲方及监理方有关工程技术人员的规范检查与监督，遵守国家、地方政府及有关部门对施工现场管理的规定。</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5.乙方进场施工必须学习了解第三方场地施工规范，如有违反则由乙方承担一切责任及费用。</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6.乙方提供的物料及材料在施工过程中，如未按《施工报价清单》里的参数标准提供及施工要求实施，造成的一切损失由乙方负责。</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8.乙方必须保证施工人员按每日计划的时间到岗开工。如施工人员未按规定在非工作时间段内进行施工，一切责任由乙方自行承担。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9.乙方必须按照甲方要求的最晚退场时间前完成所有清场工作，如超出时间一切责任由乙方自行承担。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10.乙方必须在合同约定的时间内完成施工，除合理顺延情形外，如有超出约定时间按违约处理。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11.乙方不得将甲方提供的任何资料和施工现场资料提供给第三方，如有违反造成的一切后果均由乙方承担全部责任。</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12.乙方施工前必须对施工场地进行测量，并及时与甲方核对物料及材料尺寸，否则因物料及材料的尺寸问题发生任何纠纷，一切费用由乙方自行承担。</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sz w:val="32"/>
          <w:szCs w:val="32"/>
        </w:rPr>
        <w:t>质量及验收的约定</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1.甲、乙双方应及时办理隐蔽工程和中间工程的检查与验收手续。</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2.因乙方原因造成工程质量问题，其返工费用由乙方承担，因甲方未及时核对物料造成的工程质量问题由甲方承担返工费用。</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乙方施工工序安排应服从甲方进场进度要求。乙方在完成室内装修工程后，必须在1日内书面通知甲方进行验收，乙方及时发出通知的视为施工时间结束。甲方必须在接到书面通知后1日内到场验收，甲方未按时验收的，视为工程施工合格。</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五、关于</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sz w:val="32"/>
          <w:szCs w:val="32"/>
        </w:rPr>
        <w:t>价款的支付及结算的约定</w:t>
      </w:r>
    </w:p>
    <w:p>
      <w:pPr>
        <w:ind w:firstLine="720" w:firstLineChars="225"/>
        <w:rPr>
          <w:rFonts w:hint="eastAsia" w:ascii="仿宋_GB2312" w:hAnsi="仿宋_GB2312" w:eastAsia="仿宋_GB2312" w:cs="仿宋_GB2312"/>
          <w:b/>
          <w:kern w:val="52"/>
          <w:sz w:val="32"/>
          <w:szCs w:val="32"/>
        </w:rPr>
      </w:pPr>
      <w:r>
        <w:rPr>
          <w:rFonts w:hint="eastAsia" w:ascii="仿宋_GB2312" w:hAnsi="仿宋_GB2312" w:eastAsia="仿宋_GB2312" w:cs="仿宋_GB2312"/>
          <w:sz w:val="32"/>
          <w:szCs w:val="32"/>
        </w:rPr>
        <w:t>双方以报价单作为本工程最终结算单价，以双方审定的实际装修面积作为计算依据。如施工中，有面积变更，减少部分扣除，增加部分按单项的单价结算。</w:t>
      </w:r>
    </w:p>
    <w:p>
      <w:pPr>
        <w:widowControl/>
        <w:ind w:firstLine="643" w:firstLineChars="200"/>
        <w:jc w:val="left"/>
        <w:rPr>
          <w:rFonts w:hint="eastAsia" w:ascii="仿宋_GB2312" w:hAnsi="仿宋_GB2312" w:eastAsia="仿宋_GB2312" w:cs="仿宋_GB2312"/>
          <w:kern w:val="52"/>
          <w:sz w:val="32"/>
          <w:szCs w:val="32"/>
        </w:rPr>
      </w:pPr>
      <w:r>
        <w:rPr>
          <w:rFonts w:hint="eastAsia" w:ascii="仿宋_GB2312" w:hAnsi="仿宋_GB2312" w:eastAsia="仿宋_GB2312" w:cs="仿宋_GB2312"/>
          <w:b/>
          <w:kern w:val="52"/>
          <w:sz w:val="32"/>
          <w:szCs w:val="32"/>
        </w:rPr>
        <w:t>六、本</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kern w:val="52"/>
          <w:sz w:val="32"/>
          <w:szCs w:val="32"/>
        </w:rPr>
        <w:t>总造价暂定为人民币</w:t>
      </w:r>
      <w:r>
        <w:rPr>
          <w:rFonts w:hint="eastAsia" w:ascii="仿宋_GB2312" w:hAnsi="仿宋_GB2312" w:eastAsia="仿宋_GB2312" w:cs="仿宋_GB2312"/>
          <w:kern w:val="0"/>
          <w:sz w:val="32"/>
          <w:szCs w:val="32"/>
          <w:lang w:bidi="ar"/>
        </w:rPr>
        <w:t xml:space="preserve">肆拾玖万圆整 </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u w:val="single"/>
          <w:lang w:val="en-US" w:eastAsia="zh-CN"/>
        </w:rPr>
        <w:t xml:space="preserve">    </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rPr>
        <w:t>工程费支付进度详见下表：</w:t>
      </w:r>
    </w:p>
    <w:tbl>
      <w:tblPr>
        <w:tblStyle w:val="2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占总工程费％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50％</w:t>
            </w:r>
          </w:p>
        </w:tc>
        <w:tc>
          <w:tcPr>
            <w:tcW w:w="1980" w:type="dxa"/>
            <w:noWrap w:val="0"/>
            <w:vAlign w:val="center"/>
          </w:tcPr>
          <w:p>
            <w:pPr>
              <w:jc w:val="center"/>
              <w:rPr>
                <w:rFonts w:ascii="仿宋_GB2312" w:hAnsi="仿宋_GB2312" w:eastAsia="仿宋_GB2312" w:cs="仿宋_GB231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50％</w:t>
            </w:r>
          </w:p>
        </w:tc>
        <w:tc>
          <w:tcPr>
            <w:tcW w:w="1980" w:type="dxa"/>
            <w:noWrap w:val="0"/>
            <w:vAlign w:val="center"/>
          </w:tcPr>
          <w:p>
            <w:pPr>
              <w:jc w:val="center"/>
              <w:rPr>
                <w:rFonts w:hint="eastAsia" w:ascii="仿宋_GB2312" w:hAnsi="仿宋_GB2312" w:eastAsia="仿宋_GB2312" w:cs="仿宋_GB2312"/>
                <w:kern w:val="5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工程完工并经甲方确认后10个工作日内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8" w:type="dxa"/>
            <w:noWrap w:val="0"/>
            <w:vAlign w:val="top"/>
          </w:tcPr>
          <w:p>
            <w:pPr>
              <w:jc w:val="center"/>
              <w:rPr>
                <w:rFonts w:hint="eastAsia" w:ascii="仿宋_GB2312" w:hAnsi="仿宋_GB2312" w:eastAsia="仿宋_GB2312" w:cs="仿宋_GB2312"/>
                <w:kern w:val="52"/>
                <w:sz w:val="24"/>
              </w:rPr>
            </w:pPr>
          </w:p>
        </w:tc>
        <w:tc>
          <w:tcPr>
            <w:tcW w:w="1800" w:type="dxa"/>
            <w:noWrap w:val="0"/>
            <w:vAlign w:val="top"/>
          </w:tcPr>
          <w:p>
            <w:pPr>
              <w:jc w:val="center"/>
              <w:rPr>
                <w:rFonts w:hint="eastAsia" w:ascii="仿宋_GB2312" w:hAnsi="仿宋_GB2312" w:eastAsia="仿宋_GB2312" w:cs="仿宋_GB2312"/>
                <w:kern w:val="52"/>
                <w:sz w:val="24"/>
              </w:rPr>
            </w:pPr>
          </w:p>
        </w:tc>
        <w:tc>
          <w:tcPr>
            <w:tcW w:w="1980" w:type="dxa"/>
            <w:noWrap w:val="0"/>
            <w:vAlign w:val="top"/>
          </w:tcPr>
          <w:p>
            <w:pPr>
              <w:jc w:val="center"/>
              <w:rPr>
                <w:rFonts w:hint="eastAsia" w:ascii="仿宋_GB2312" w:hAnsi="仿宋_GB2312" w:eastAsia="仿宋_GB2312" w:cs="仿宋_GB2312"/>
                <w:kern w:val="52"/>
                <w:sz w:val="24"/>
              </w:rPr>
            </w:pPr>
          </w:p>
        </w:tc>
        <w:tc>
          <w:tcPr>
            <w:tcW w:w="3060" w:type="dxa"/>
            <w:noWrap w:val="0"/>
            <w:vAlign w:val="top"/>
          </w:tcPr>
          <w:p>
            <w:pPr>
              <w:jc w:val="center"/>
              <w:rPr>
                <w:rFonts w:hint="eastAsia" w:ascii="仿宋_GB2312" w:hAnsi="仿宋_GB2312" w:eastAsia="仿宋_GB2312" w:cs="仿宋_GB2312"/>
                <w:kern w:val="52"/>
                <w:sz w:val="24"/>
              </w:rPr>
            </w:pPr>
          </w:p>
        </w:tc>
      </w:tr>
    </w:tbl>
    <w:p>
      <w:pPr>
        <w:rPr>
          <w:rFonts w:hint="eastAsia"/>
          <w:kern w:val="52"/>
          <w:sz w:val="24"/>
        </w:rPr>
      </w:pP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七、违约责任                                   </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1.乙方要确保按期交工，逾期不完工的，每推迟1天，甲方按暂定的工程总造价</w:t>
      </w:r>
      <w:r>
        <w:rPr>
          <w:rFonts w:hint="eastAsia" w:ascii="仿宋_GB2312" w:hAnsi="仿宋_GB2312" w:eastAsia="仿宋_GB2312" w:cs="仿宋_GB2312"/>
          <w:kern w:val="52"/>
          <w:sz w:val="32"/>
          <w:szCs w:val="32"/>
          <w:u w:val="single"/>
          <w:lang w:val="en-US" w:eastAsia="zh-CN"/>
        </w:rPr>
        <w:t xml:space="preserve">      </w:t>
      </w:r>
      <w:r>
        <w:rPr>
          <w:rFonts w:hint="eastAsia" w:ascii="仿宋_GB2312" w:hAnsi="仿宋_GB2312" w:eastAsia="仿宋_GB2312" w:cs="仿宋_GB2312"/>
          <w:kern w:val="52"/>
          <w:sz w:val="32"/>
          <w:szCs w:val="32"/>
        </w:rPr>
        <w:t>元的</w:t>
      </w:r>
      <w:r>
        <w:rPr>
          <w:rFonts w:hint="eastAsia" w:ascii="仿宋_GB2312" w:hAnsi="仿宋_GB2312" w:eastAsia="仿宋_GB2312" w:cs="仿宋_GB2312"/>
          <w:sz w:val="32"/>
          <w:szCs w:val="32"/>
        </w:rPr>
        <w:t>5%每天对乙方进行处罚。</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施工报价清单》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八、争议处理</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十、其它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叁</w:t>
      </w:r>
      <w:r>
        <w:rPr>
          <w:rFonts w:hint="eastAsia" w:ascii="仿宋_GB2312" w:hAnsi="仿宋_GB2312" w:eastAsia="仿宋_GB2312" w:cs="仿宋_GB2312"/>
          <w:sz w:val="32"/>
          <w:szCs w:val="32"/>
        </w:rPr>
        <w:t xml:space="preserve"> 份。经双方签字后立即生效。至工程验收完毕和结清工程款后失效。</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2.本合同未尽事宜，双方协商解决。</w:t>
      </w:r>
    </w:p>
    <w:p>
      <w:pPr>
        <w:rPr>
          <w:rFonts w:hint="eastAsia" w:ascii="宋体" w:hAnsi="宋体"/>
          <w:sz w:val="24"/>
        </w:rPr>
      </w:pPr>
    </w:p>
    <w:p>
      <w:pPr>
        <w:rPr>
          <w:rFonts w:hint="eastAsia" w:ascii="宋体" w:hAnsi="宋体"/>
          <w:sz w:val="24"/>
        </w:rPr>
      </w:pPr>
    </w:p>
    <w:p>
      <w:pPr>
        <w:rPr>
          <w:rFonts w:hint="eastAsia" w:ascii="宋体" w:hAnsi="宋体"/>
          <w:sz w:val="24"/>
        </w:rPr>
      </w:pPr>
    </w:p>
    <w:tbl>
      <w:tblPr>
        <w:tblStyle w:val="22"/>
        <w:tblW w:w="8820" w:type="dxa"/>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广西博览文化传媒有限公司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r>
      <w:tr>
        <w:tblPrEx>
          <w:tblCellMar>
            <w:top w:w="0" w:type="dxa"/>
            <w:left w:w="108" w:type="dxa"/>
            <w:bottom w:w="0" w:type="dxa"/>
            <w:right w:w="108" w:type="dxa"/>
          </w:tblCellMar>
        </w:tblPrEx>
        <w:trPr>
          <w:trHeight w:val="85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南宁市青秀区会展路18号会展大厦11层</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r>
              <w:rPr>
                <w:rFonts w:eastAsia="仿宋_GB2312"/>
                <w:spacing w:val="-20"/>
                <w:sz w:val="24"/>
              </w:rPr>
              <w:t>中国银行广西壮族自治区分行营业部</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 xml:space="preserve">开户银行： </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eastAsia="仿宋_GB2312"/>
                <w:spacing w:val="-20"/>
                <w:sz w:val="24"/>
              </w:rPr>
              <w:t>622375983870</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rPr>
          <w:rFonts w:eastAsia="仿宋_GB2312"/>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rPr>
    </w:pPr>
    <w:r>
      <w:rPr>
        <w:rFonts w:hint="eastAsia"/>
      </w:rPr>
      <w:t>项目名称：防城港嘉乐城美陈设计方案采购项目采购项目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4422"/>
    <w:rsid w:val="00365220"/>
    <w:rsid w:val="00365238"/>
    <w:rsid w:val="00365662"/>
    <w:rsid w:val="003659F0"/>
    <w:rsid w:val="00365A9F"/>
    <w:rsid w:val="0036639C"/>
    <w:rsid w:val="003664CF"/>
    <w:rsid w:val="00367B8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E28"/>
    <w:rsid w:val="005D3509"/>
    <w:rsid w:val="005D4E32"/>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275A1F"/>
    <w:rsid w:val="013E0E46"/>
    <w:rsid w:val="01527427"/>
    <w:rsid w:val="019A646E"/>
    <w:rsid w:val="01C0392A"/>
    <w:rsid w:val="01CC1293"/>
    <w:rsid w:val="022C7095"/>
    <w:rsid w:val="025522F0"/>
    <w:rsid w:val="02664C68"/>
    <w:rsid w:val="028C6B2D"/>
    <w:rsid w:val="02C313DB"/>
    <w:rsid w:val="02C57F48"/>
    <w:rsid w:val="03173A2A"/>
    <w:rsid w:val="031754F7"/>
    <w:rsid w:val="037642BF"/>
    <w:rsid w:val="039430EB"/>
    <w:rsid w:val="03A026FC"/>
    <w:rsid w:val="03C54EF5"/>
    <w:rsid w:val="03CD281D"/>
    <w:rsid w:val="03EA640D"/>
    <w:rsid w:val="03EF7D1E"/>
    <w:rsid w:val="043A1C89"/>
    <w:rsid w:val="04A652B4"/>
    <w:rsid w:val="04CC4DC3"/>
    <w:rsid w:val="05041AAC"/>
    <w:rsid w:val="051979D0"/>
    <w:rsid w:val="053F110D"/>
    <w:rsid w:val="055044A7"/>
    <w:rsid w:val="05596EF8"/>
    <w:rsid w:val="057878C7"/>
    <w:rsid w:val="05873643"/>
    <w:rsid w:val="05E20F69"/>
    <w:rsid w:val="05FE19B7"/>
    <w:rsid w:val="061E1E98"/>
    <w:rsid w:val="062D552F"/>
    <w:rsid w:val="062D7D5C"/>
    <w:rsid w:val="063F730F"/>
    <w:rsid w:val="06767C89"/>
    <w:rsid w:val="06991874"/>
    <w:rsid w:val="06AE2DE0"/>
    <w:rsid w:val="06B93F32"/>
    <w:rsid w:val="06E16447"/>
    <w:rsid w:val="0707361E"/>
    <w:rsid w:val="07747C04"/>
    <w:rsid w:val="07A454ED"/>
    <w:rsid w:val="07BF66C6"/>
    <w:rsid w:val="07ED07B2"/>
    <w:rsid w:val="07F66BEA"/>
    <w:rsid w:val="07F97A59"/>
    <w:rsid w:val="0818685D"/>
    <w:rsid w:val="083830B1"/>
    <w:rsid w:val="083F43B4"/>
    <w:rsid w:val="08CC584A"/>
    <w:rsid w:val="08D32422"/>
    <w:rsid w:val="091E08A7"/>
    <w:rsid w:val="09432E88"/>
    <w:rsid w:val="094F6CE1"/>
    <w:rsid w:val="095121E3"/>
    <w:rsid w:val="09672445"/>
    <w:rsid w:val="096C7048"/>
    <w:rsid w:val="09DE75FA"/>
    <w:rsid w:val="0A0A37C3"/>
    <w:rsid w:val="0A6E316C"/>
    <w:rsid w:val="0A835BFB"/>
    <w:rsid w:val="0AEC4C96"/>
    <w:rsid w:val="0AEC69D2"/>
    <w:rsid w:val="0B0D7A65"/>
    <w:rsid w:val="0B4B3BCC"/>
    <w:rsid w:val="0B5002B7"/>
    <w:rsid w:val="0B595286"/>
    <w:rsid w:val="0B5B5534"/>
    <w:rsid w:val="0B657C65"/>
    <w:rsid w:val="0B7A6FB4"/>
    <w:rsid w:val="0BB233AF"/>
    <w:rsid w:val="0BB31514"/>
    <w:rsid w:val="0BC927C5"/>
    <w:rsid w:val="0C020614"/>
    <w:rsid w:val="0C270809"/>
    <w:rsid w:val="0C2E371E"/>
    <w:rsid w:val="0C424A31"/>
    <w:rsid w:val="0C7A7F54"/>
    <w:rsid w:val="0C94723A"/>
    <w:rsid w:val="0D235E02"/>
    <w:rsid w:val="0D4F411C"/>
    <w:rsid w:val="0DB9298F"/>
    <w:rsid w:val="0DE8662A"/>
    <w:rsid w:val="0DFA21CE"/>
    <w:rsid w:val="0E106D9E"/>
    <w:rsid w:val="0E177C38"/>
    <w:rsid w:val="0E2A10F3"/>
    <w:rsid w:val="0E2B078C"/>
    <w:rsid w:val="0E2F65D2"/>
    <w:rsid w:val="0E302644"/>
    <w:rsid w:val="0EDD124A"/>
    <w:rsid w:val="0F3933BC"/>
    <w:rsid w:val="0F3B23BB"/>
    <w:rsid w:val="0F4D1D48"/>
    <w:rsid w:val="0F652DC9"/>
    <w:rsid w:val="0FDA6B6A"/>
    <w:rsid w:val="10062D67"/>
    <w:rsid w:val="10472449"/>
    <w:rsid w:val="10992FD3"/>
    <w:rsid w:val="1116550E"/>
    <w:rsid w:val="116F63C4"/>
    <w:rsid w:val="118403EC"/>
    <w:rsid w:val="11CD604A"/>
    <w:rsid w:val="11D47ECD"/>
    <w:rsid w:val="11DC3D48"/>
    <w:rsid w:val="11DE7E7B"/>
    <w:rsid w:val="11F11428"/>
    <w:rsid w:val="12055E70"/>
    <w:rsid w:val="12116E54"/>
    <w:rsid w:val="123D2231"/>
    <w:rsid w:val="12474BFE"/>
    <w:rsid w:val="126E3C39"/>
    <w:rsid w:val="12A04817"/>
    <w:rsid w:val="12B46ECD"/>
    <w:rsid w:val="13134B18"/>
    <w:rsid w:val="131F4A42"/>
    <w:rsid w:val="132541D3"/>
    <w:rsid w:val="13412C96"/>
    <w:rsid w:val="13440BFD"/>
    <w:rsid w:val="13677F94"/>
    <w:rsid w:val="137261DE"/>
    <w:rsid w:val="138A6801"/>
    <w:rsid w:val="13C551A6"/>
    <w:rsid w:val="13CC1126"/>
    <w:rsid w:val="13EF2DCF"/>
    <w:rsid w:val="13FE29B9"/>
    <w:rsid w:val="14514109"/>
    <w:rsid w:val="14745C5A"/>
    <w:rsid w:val="14A81088"/>
    <w:rsid w:val="153E7330"/>
    <w:rsid w:val="158C6E44"/>
    <w:rsid w:val="15C46A1C"/>
    <w:rsid w:val="15CB6A56"/>
    <w:rsid w:val="15CE2EAF"/>
    <w:rsid w:val="15D14863"/>
    <w:rsid w:val="15E41975"/>
    <w:rsid w:val="168319E7"/>
    <w:rsid w:val="16A0656D"/>
    <w:rsid w:val="16B30077"/>
    <w:rsid w:val="17244337"/>
    <w:rsid w:val="17960F76"/>
    <w:rsid w:val="179657F1"/>
    <w:rsid w:val="179F5595"/>
    <w:rsid w:val="17C12571"/>
    <w:rsid w:val="17CA4D07"/>
    <w:rsid w:val="184F2D79"/>
    <w:rsid w:val="18FC05A2"/>
    <w:rsid w:val="19037756"/>
    <w:rsid w:val="191C1476"/>
    <w:rsid w:val="19785587"/>
    <w:rsid w:val="197E4797"/>
    <w:rsid w:val="19856648"/>
    <w:rsid w:val="198E5B2E"/>
    <w:rsid w:val="199076A5"/>
    <w:rsid w:val="19A861EF"/>
    <w:rsid w:val="19FF08BC"/>
    <w:rsid w:val="1A0643D1"/>
    <w:rsid w:val="1A2951FD"/>
    <w:rsid w:val="1A3D5ECC"/>
    <w:rsid w:val="1A44258B"/>
    <w:rsid w:val="1A583FB2"/>
    <w:rsid w:val="1A666A7B"/>
    <w:rsid w:val="1AAC5942"/>
    <w:rsid w:val="1AB332CE"/>
    <w:rsid w:val="1ABB5C5B"/>
    <w:rsid w:val="1AF01104"/>
    <w:rsid w:val="1B04070E"/>
    <w:rsid w:val="1B1441D2"/>
    <w:rsid w:val="1B760F08"/>
    <w:rsid w:val="1B8E5F20"/>
    <w:rsid w:val="1BAB0A0D"/>
    <w:rsid w:val="1BB42DF4"/>
    <w:rsid w:val="1BF10372"/>
    <w:rsid w:val="1C523D24"/>
    <w:rsid w:val="1C7E2063"/>
    <w:rsid w:val="1CF159FA"/>
    <w:rsid w:val="1D43489A"/>
    <w:rsid w:val="1D70487D"/>
    <w:rsid w:val="1D72583E"/>
    <w:rsid w:val="1D83547A"/>
    <w:rsid w:val="1D87363D"/>
    <w:rsid w:val="1DC928FF"/>
    <w:rsid w:val="1DD02D02"/>
    <w:rsid w:val="1DDF0101"/>
    <w:rsid w:val="1DE820C9"/>
    <w:rsid w:val="1E04562B"/>
    <w:rsid w:val="1E267629"/>
    <w:rsid w:val="1E3B06BF"/>
    <w:rsid w:val="1E6749DE"/>
    <w:rsid w:val="1E6F5C74"/>
    <w:rsid w:val="1E7C3369"/>
    <w:rsid w:val="1E8828C1"/>
    <w:rsid w:val="1E893735"/>
    <w:rsid w:val="1F1156A1"/>
    <w:rsid w:val="1F387CC5"/>
    <w:rsid w:val="1F4E18A1"/>
    <w:rsid w:val="1F9B5504"/>
    <w:rsid w:val="1FB57A6F"/>
    <w:rsid w:val="1FBA17DF"/>
    <w:rsid w:val="1FBF4C52"/>
    <w:rsid w:val="1FC6682A"/>
    <w:rsid w:val="1FCA7B6D"/>
    <w:rsid w:val="1FE75529"/>
    <w:rsid w:val="203D0348"/>
    <w:rsid w:val="203D3513"/>
    <w:rsid w:val="205D0BA3"/>
    <w:rsid w:val="207E2B34"/>
    <w:rsid w:val="20813CE9"/>
    <w:rsid w:val="208A073D"/>
    <w:rsid w:val="20A73165"/>
    <w:rsid w:val="20E37568"/>
    <w:rsid w:val="20F04BDD"/>
    <w:rsid w:val="21194F9A"/>
    <w:rsid w:val="211E2F3C"/>
    <w:rsid w:val="21565623"/>
    <w:rsid w:val="21592CE9"/>
    <w:rsid w:val="21641E9F"/>
    <w:rsid w:val="21836094"/>
    <w:rsid w:val="218559A3"/>
    <w:rsid w:val="21865503"/>
    <w:rsid w:val="21945D6B"/>
    <w:rsid w:val="21D8709D"/>
    <w:rsid w:val="21E52632"/>
    <w:rsid w:val="220E638B"/>
    <w:rsid w:val="2228745A"/>
    <w:rsid w:val="22522718"/>
    <w:rsid w:val="229644AD"/>
    <w:rsid w:val="22CC37E5"/>
    <w:rsid w:val="22CF2C89"/>
    <w:rsid w:val="230F0B4D"/>
    <w:rsid w:val="232A2D19"/>
    <w:rsid w:val="23796691"/>
    <w:rsid w:val="23B04431"/>
    <w:rsid w:val="240C6891"/>
    <w:rsid w:val="245A7519"/>
    <w:rsid w:val="2471200E"/>
    <w:rsid w:val="24C21CD3"/>
    <w:rsid w:val="24DE7705"/>
    <w:rsid w:val="25271CF4"/>
    <w:rsid w:val="254A3CA6"/>
    <w:rsid w:val="25903D21"/>
    <w:rsid w:val="25A92EBF"/>
    <w:rsid w:val="25BC48E8"/>
    <w:rsid w:val="260F1C1B"/>
    <w:rsid w:val="261418C5"/>
    <w:rsid w:val="26585F78"/>
    <w:rsid w:val="26CB226D"/>
    <w:rsid w:val="26CB2AA3"/>
    <w:rsid w:val="26CE6C54"/>
    <w:rsid w:val="26D919FA"/>
    <w:rsid w:val="272B2C75"/>
    <w:rsid w:val="27723270"/>
    <w:rsid w:val="27745BEC"/>
    <w:rsid w:val="2777261A"/>
    <w:rsid w:val="27C55A13"/>
    <w:rsid w:val="27C95AA8"/>
    <w:rsid w:val="28095EF6"/>
    <w:rsid w:val="28146775"/>
    <w:rsid w:val="28251265"/>
    <w:rsid w:val="28515C66"/>
    <w:rsid w:val="28886CF0"/>
    <w:rsid w:val="29190202"/>
    <w:rsid w:val="29244DF9"/>
    <w:rsid w:val="293A6411"/>
    <w:rsid w:val="296E2AE1"/>
    <w:rsid w:val="297A3781"/>
    <w:rsid w:val="2A5E71B6"/>
    <w:rsid w:val="2A8A493D"/>
    <w:rsid w:val="2A982EAA"/>
    <w:rsid w:val="2A990412"/>
    <w:rsid w:val="2AA5659C"/>
    <w:rsid w:val="2ABC7995"/>
    <w:rsid w:val="2B234A50"/>
    <w:rsid w:val="2C2964A3"/>
    <w:rsid w:val="2C381CD4"/>
    <w:rsid w:val="2C6A18BF"/>
    <w:rsid w:val="2C6F1FEE"/>
    <w:rsid w:val="2C7617E3"/>
    <w:rsid w:val="2C8C15EE"/>
    <w:rsid w:val="2C9C4B62"/>
    <w:rsid w:val="2CDF5F73"/>
    <w:rsid w:val="2CE248B8"/>
    <w:rsid w:val="2CF05A6F"/>
    <w:rsid w:val="2CF87CA9"/>
    <w:rsid w:val="2D051F90"/>
    <w:rsid w:val="2D2377BF"/>
    <w:rsid w:val="2D27798F"/>
    <w:rsid w:val="2D286A17"/>
    <w:rsid w:val="2D514ABB"/>
    <w:rsid w:val="2D7D36D1"/>
    <w:rsid w:val="2E104C52"/>
    <w:rsid w:val="2E4F1580"/>
    <w:rsid w:val="2E9C6928"/>
    <w:rsid w:val="2EB10C0E"/>
    <w:rsid w:val="2EBD06BD"/>
    <w:rsid w:val="2F1152E2"/>
    <w:rsid w:val="2F1F7749"/>
    <w:rsid w:val="2F7116EF"/>
    <w:rsid w:val="2F94049F"/>
    <w:rsid w:val="2F944EEA"/>
    <w:rsid w:val="2FFB6B7D"/>
    <w:rsid w:val="30187894"/>
    <w:rsid w:val="30396B8C"/>
    <w:rsid w:val="30435E0A"/>
    <w:rsid w:val="30627E3C"/>
    <w:rsid w:val="30633B5D"/>
    <w:rsid w:val="30652EFA"/>
    <w:rsid w:val="306646DC"/>
    <w:rsid w:val="30674A6F"/>
    <w:rsid w:val="30AA7617"/>
    <w:rsid w:val="30B44046"/>
    <w:rsid w:val="30B701E3"/>
    <w:rsid w:val="30FD3ADB"/>
    <w:rsid w:val="31012085"/>
    <w:rsid w:val="310E0902"/>
    <w:rsid w:val="3155474A"/>
    <w:rsid w:val="31557EF6"/>
    <w:rsid w:val="31915472"/>
    <w:rsid w:val="319F2FEE"/>
    <w:rsid w:val="31AD6934"/>
    <w:rsid w:val="31AE5ECA"/>
    <w:rsid w:val="31C92849"/>
    <w:rsid w:val="31F2724D"/>
    <w:rsid w:val="32021540"/>
    <w:rsid w:val="321D4956"/>
    <w:rsid w:val="325E00DD"/>
    <w:rsid w:val="32BB5811"/>
    <w:rsid w:val="32DA2B7B"/>
    <w:rsid w:val="330013F5"/>
    <w:rsid w:val="33205610"/>
    <w:rsid w:val="333B4E3A"/>
    <w:rsid w:val="3393554C"/>
    <w:rsid w:val="342A7861"/>
    <w:rsid w:val="34511096"/>
    <w:rsid w:val="345151A5"/>
    <w:rsid w:val="3457590D"/>
    <w:rsid w:val="34672553"/>
    <w:rsid w:val="347916D8"/>
    <w:rsid w:val="34C05E89"/>
    <w:rsid w:val="34CA4E14"/>
    <w:rsid w:val="34EB5863"/>
    <w:rsid w:val="34FA2F69"/>
    <w:rsid w:val="35000050"/>
    <w:rsid w:val="353C5C49"/>
    <w:rsid w:val="35751EA0"/>
    <w:rsid w:val="361661DF"/>
    <w:rsid w:val="361E4259"/>
    <w:rsid w:val="36236AA9"/>
    <w:rsid w:val="365A6ADC"/>
    <w:rsid w:val="36935511"/>
    <w:rsid w:val="36A96732"/>
    <w:rsid w:val="37184056"/>
    <w:rsid w:val="37200F4E"/>
    <w:rsid w:val="373F21B3"/>
    <w:rsid w:val="37403910"/>
    <w:rsid w:val="37564E20"/>
    <w:rsid w:val="37871445"/>
    <w:rsid w:val="37B43EBC"/>
    <w:rsid w:val="37C653EC"/>
    <w:rsid w:val="380077BB"/>
    <w:rsid w:val="381A5BB9"/>
    <w:rsid w:val="382E311C"/>
    <w:rsid w:val="383C0DAB"/>
    <w:rsid w:val="38910677"/>
    <w:rsid w:val="38B0328B"/>
    <w:rsid w:val="38B04C35"/>
    <w:rsid w:val="38BD2388"/>
    <w:rsid w:val="38C9300E"/>
    <w:rsid w:val="39013634"/>
    <w:rsid w:val="39347612"/>
    <w:rsid w:val="394B50E0"/>
    <w:rsid w:val="394F4731"/>
    <w:rsid w:val="39C62B92"/>
    <w:rsid w:val="39C84AD9"/>
    <w:rsid w:val="39DD7775"/>
    <w:rsid w:val="39E73F03"/>
    <w:rsid w:val="39F3199C"/>
    <w:rsid w:val="3A482CE2"/>
    <w:rsid w:val="3A8111AC"/>
    <w:rsid w:val="3A8B2B16"/>
    <w:rsid w:val="3AAF0B31"/>
    <w:rsid w:val="3AD05E59"/>
    <w:rsid w:val="3B1161BF"/>
    <w:rsid w:val="3B196E45"/>
    <w:rsid w:val="3B702729"/>
    <w:rsid w:val="3BA67B47"/>
    <w:rsid w:val="3BAF6F70"/>
    <w:rsid w:val="3BC21BDF"/>
    <w:rsid w:val="3BDA552E"/>
    <w:rsid w:val="3C490D3D"/>
    <w:rsid w:val="3C6E722F"/>
    <w:rsid w:val="3CA50841"/>
    <w:rsid w:val="3CB43F9B"/>
    <w:rsid w:val="3D0E569D"/>
    <w:rsid w:val="3D433710"/>
    <w:rsid w:val="3DAB5607"/>
    <w:rsid w:val="3DDE433E"/>
    <w:rsid w:val="3DE6324D"/>
    <w:rsid w:val="3DE82C55"/>
    <w:rsid w:val="3E08721A"/>
    <w:rsid w:val="3E1155C7"/>
    <w:rsid w:val="3E323232"/>
    <w:rsid w:val="3E4C0102"/>
    <w:rsid w:val="3E880FB1"/>
    <w:rsid w:val="3EA62555"/>
    <w:rsid w:val="3ECE5B8B"/>
    <w:rsid w:val="3EDF4794"/>
    <w:rsid w:val="3EE05B4A"/>
    <w:rsid w:val="3F000F96"/>
    <w:rsid w:val="3F0B0318"/>
    <w:rsid w:val="3F8C3A06"/>
    <w:rsid w:val="3FBA397F"/>
    <w:rsid w:val="3FC41967"/>
    <w:rsid w:val="401E767D"/>
    <w:rsid w:val="402120D8"/>
    <w:rsid w:val="402637A1"/>
    <w:rsid w:val="40525844"/>
    <w:rsid w:val="409930E1"/>
    <w:rsid w:val="40C616F1"/>
    <w:rsid w:val="40F96444"/>
    <w:rsid w:val="410521C5"/>
    <w:rsid w:val="41413D75"/>
    <w:rsid w:val="41416801"/>
    <w:rsid w:val="41675FC2"/>
    <w:rsid w:val="4181104A"/>
    <w:rsid w:val="41A84F3E"/>
    <w:rsid w:val="41EF027E"/>
    <w:rsid w:val="42464DB1"/>
    <w:rsid w:val="425A1FE8"/>
    <w:rsid w:val="42820FDF"/>
    <w:rsid w:val="42A35708"/>
    <w:rsid w:val="42AF7FAB"/>
    <w:rsid w:val="42B43128"/>
    <w:rsid w:val="4316250C"/>
    <w:rsid w:val="431F00A2"/>
    <w:rsid w:val="432623B5"/>
    <w:rsid w:val="43785ED3"/>
    <w:rsid w:val="437A0009"/>
    <w:rsid w:val="43DD35E4"/>
    <w:rsid w:val="440B3BDC"/>
    <w:rsid w:val="44403835"/>
    <w:rsid w:val="44493522"/>
    <w:rsid w:val="445C0E6C"/>
    <w:rsid w:val="44605BB0"/>
    <w:rsid w:val="44DC63B3"/>
    <w:rsid w:val="44F6679E"/>
    <w:rsid w:val="45155B81"/>
    <w:rsid w:val="4529541C"/>
    <w:rsid w:val="452E7C3B"/>
    <w:rsid w:val="45301FFF"/>
    <w:rsid w:val="456E6A92"/>
    <w:rsid w:val="45B05039"/>
    <w:rsid w:val="45B05353"/>
    <w:rsid w:val="463A04A9"/>
    <w:rsid w:val="463C6856"/>
    <w:rsid w:val="463D3D10"/>
    <w:rsid w:val="466B531B"/>
    <w:rsid w:val="46F97522"/>
    <w:rsid w:val="470B140E"/>
    <w:rsid w:val="470F5CA5"/>
    <w:rsid w:val="47221468"/>
    <w:rsid w:val="472A46AD"/>
    <w:rsid w:val="472E37AA"/>
    <w:rsid w:val="476104DF"/>
    <w:rsid w:val="481C1BDB"/>
    <w:rsid w:val="48562A8E"/>
    <w:rsid w:val="48B832BF"/>
    <w:rsid w:val="48BD7294"/>
    <w:rsid w:val="48C037F3"/>
    <w:rsid w:val="48EE5222"/>
    <w:rsid w:val="490662E1"/>
    <w:rsid w:val="49267579"/>
    <w:rsid w:val="495E2C65"/>
    <w:rsid w:val="499524FE"/>
    <w:rsid w:val="499E28C4"/>
    <w:rsid w:val="49AB5C1B"/>
    <w:rsid w:val="49C60874"/>
    <w:rsid w:val="49E272E8"/>
    <w:rsid w:val="49FC6333"/>
    <w:rsid w:val="4A095EEE"/>
    <w:rsid w:val="4A274738"/>
    <w:rsid w:val="4A6D7A33"/>
    <w:rsid w:val="4A6E4522"/>
    <w:rsid w:val="4AC71DC3"/>
    <w:rsid w:val="4AC926A1"/>
    <w:rsid w:val="4ADA44A1"/>
    <w:rsid w:val="4AFB1403"/>
    <w:rsid w:val="4B014737"/>
    <w:rsid w:val="4B304FFE"/>
    <w:rsid w:val="4B7B317F"/>
    <w:rsid w:val="4B925046"/>
    <w:rsid w:val="4BC323EB"/>
    <w:rsid w:val="4C133000"/>
    <w:rsid w:val="4C1C757E"/>
    <w:rsid w:val="4C497F3A"/>
    <w:rsid w:val="4C5D4892"/>
    <w:rsid w:val="4C733632"/>
    <w:rsid w:val="4C997527"/>
    <w:rsid w:val="4C9B6649"/>
    <w:rsid w:val="4CBB7B17"/>
    <w:rsid w:val="4CD6471E"/>
    <w:rsid w:val="4DA20356"/>
    <w:rsid w:val="4DE4037E"/>
    <w:rsid w:val="4E186C4C"/>
    <w:rsid w:val="4E265F89"/>
    <w:rsid w:val="4E6C00C3"/>
    <w:rsid w:val="4E774FED"/>
    <w:rsid w:val="4E9B656C"/>
    <w:rsid w:val="4EB45CA9"/>
    <w:rsid w:val="4EB61B52"/>
    <w:rsid w:val="4F0F2300"/>
    <w:rsid w:val="4F4831E6"/>
    <w:rsid w:val="4F521332"/>
    <w:rsid w:val="4F6E4BA9"/>
    <w:rsid w:val="4F6E672B"/>
    <w:rsid w:val="4FAF37FF"/>
    <w:rsid w:val="4FF937E6"/>
    <w:rsid w:val="50093586"/>
    <w:rsid w:val="50267AB7"/>
    <w:rsid w:val="50652EC2"/>
    <w:rsid w:val="50884455"/>
    <w:rsid w:val="508F712D"/>
    <w:rsid w:val="50906FFE"/>
    <w:rsid w:val="50A34689"/>
    <w:rsid w:val="50E91742"/>
    <w:rsid w:val="510B579B"/>
    <w:rsid w:val="5138530A"/>
    <w:rsid w:val="51605F5E"/>
    <w:rsid w:val="51AF734D"/>
    <w:rsid w:val="51B84D67"/>
    <w:rsid w:val="51D76D60"/>
    <w:rsid w:val="51DD54C0"/>
    <w:rsid w:val="51F50273"/>
    <w:rsid w:val="521B26A7"/>
    <w:rsid w:val="5230705E"/>
    <w:rsid w:val="523D5622"/>
    <w:rsid w:val="524F6A20"/>
    <w:rsid w:val="52AD4C7B"/>
    <w:rsid w:val="52CE1C31"/>
    <w:rsid w:val="52D93118"/>
    <w:rsid w:val="52DA6D3F"/>
    <w:rsid w:val="53495010"/>
    <w:rsid w:val="53534465"/>
    <w:rsid w:val="53543018"/>
    <w:rsid w:val="539611F8"/>
    <w:rsid w:val="53B90991"/>
    <w:rsid w:val="53BC24B4"/>
    <w:rsid w:val="53F1341D"/>
    <w:rsid w:val="53F538B9"/>
    <w:rsid w:val="541732BC"/>
    <w:rsid w:val="542A4F2E"/>
    <w:rsid w:val="543932BD"/>
    <w:rsid w:val="549F1E58"/>
    <w:rsid w:val="54E33B9C"/>
    <w:rsid w:val="54F52F97"/>
    <w:rsid w:val="55C31BBF"/>
    <w:rsid w:val="55E75735"/>
    <w:rsid w:val="55FD2CF8"/>
    <w:rsid w:val="56126DCF"/>
    <w:rsid w:val="561E2C59"/>
    <w:rsid w:val="56277D09"/>
    <w:rsid w:val="56381FEE"/>
    <w:rsid w:val="5650241D"/>
    <w:rsid w:val="568C26FC"/>
    <w:rsid w:val="569E405A"/>
    <w:rsid w:val="56B712C8"/>
    <w:rsid w:val="56B80479"/>
    <w:rsid w:val="56E0305A"/>
    <w:rsid w:val="57247ABE"/>
    <w:rsid w:val="57435059"/>
    <w:rsid w:val="575E1054"/>
    <w:rsid w:val="5778160A"/>
    <w:rsid w:val="57896600"/>
    <w:rsid w:val="57E93E02"/>
    <w:rsid w:val="585D1CCA"/>
    <w:rsid w:val="58910C97"/>
    <w:rsid w:val="58BA1BA3"/>
    <w:rsid w:val="58C92BDD"/>
    <w:rsid w:val="58CC093A"/>
    <w:rsid w:val="58DA62E4"/>
    <w:rsid w:val="5958344E"/>
    <w:rsid w:val="59720BC9"/>
    <w:rsid w:val="59B86983"/>
    <w:rsid w:val="59C4584F"/>
    <w:rsid w:val="59CC03F4"/>
    <w:rsid w:val="59E407FE"/>
    <w:rsid w:val="59FC3284"/>
    <w:rsid w:val="5A265D26"/>
    <w:rsid w:val="5A42080F"/>
    <w:rsid w:val="5AA341BE"/>
    <w:rsid w:val="5AD14CE7"/>
    <w:rsid w:val="5B205AE7"/>
    <w:rsid w:val="5B2735CA"/>
    <w:rsid w:val="5B7A276E"/>
    <w:rsid w:val="5B7B79EF"/>
    <w:rsid w:val="5BB8301C"/>
    <w:rsid w:val="5BEE17F5"/>
    <w:rsid w:val="5BF379E1"/>
    <w:rsid w:val="5C3213E7"/>
    <w:rsid w:val="5C3C78D5"/>
    <w:rsid w:val="5C3E7E01"/>
    <w:rsid w:val="5C825CE7"/>
    <w:rsid w:val="5CB009F8"/>
    <w:rsid w:val="5CED6575"/>
    <w:rsid w:val="5CEF628A"/>
    <w:rsid w:val="5CF539AB"/>
    <w:rsid w:val="5D1E18A6"/>
    <w:rsid w:val="5D5A4E42"/>
    <w:rsid w:val="5D7C1F4F"/>
    <w:rsid w:val="5D972CA7"/>
    <w:rsid w:val="5D9D3100"/>
    <w:rsid w:val="5DA53020"/>
    <w:rsid w:val="5DC46278"/>
    <w:rsid w:val="5DD17CBF"/>
    <w:rsid w:val="5E3235A6"/>
    <w:rsid w:val="5E392860"/>
    <w:rsid w:val="5E3A4342"/>
    <w:rsid w:val="5E4E77EE"/>
    <w:rsid w:val="5E8D626F"/>
    <w:rsid w:val="5F002AF2"/>
    <w:rsid w:val="5F2348E7"/>
    <w:rsid w:val="5F2724C8"/>
    <w:rsid w:val="5F484080"/>
    <w:rsid w:val="5F5750F2"/>
    <w:rsid w:val="5F954EA3"/>
    <w:rsid w:val="5FFB2207"/>
    <w:rsid w:val="602805F2"/>
    <w:rsid w:val="602E1B39"/>
    <w:rsid w:val="609A0CA0"/>
    <w:rsid w:val="60B2400F"/>
    <w:rsid w:val="60C9038E"/>
    <w:rsid w:val="611C48AF"/>
    <w:rsid w:val="617566B0"/>
    <w:rsid w:val="617A6943"/>
    <w:rsid w:val="619B1962"/>
    <w:rsid w:val="61C3142C"/>
    <w:rsid w:val="61C97702"/>
    <w:rsid w:val="622A24DA"/>
    <w:rsid w:val="622F6149"/>
    <w:rsid w:val="625544AD"/>
    <w:rsid w:val="6267071D"/>
    <w:rsid w:val="62806833"/>
    <w:rsid w:val="62985888"/>
    <w:rsid w:val="637441BC"/>
    <w:rsid w:val="63960A02"/>
    <w:rsid w:val="63CC099D"/>
    <w:rsid w:val="63EB3B99"/>
    <w:rsid w:val="63FC0E8A"/>
    <w:rsid w:val="643134C4"/>
    <w:rsid w:val="643A5CFC"/>
    <w:rsid w:val="64705440"/>
    <w:rsid w:val="648B01BF"/>
    <w:rsid w:val="648F65CF"/>
    <w:rsid w:val="64AA2CD7"/>
    <w:rsid w:val="64C81772"/>
    <w:rsid w:val="64EB61FD"/>
    <w:rsid w:val="64F66F27"/>
    <w:rsid w:val="64FB097D"/>
    <w:rsid w:val="65067516"/>
    <w:rsid w:val="65467CAD"/>
    <w:rsid w:val="6591376D"/>
    <w:rsid w:val="659B3772"/>
    <w:rsid w:val="65B21D54"/>
    <w:rsid w:val="65B76A19"/>
    <w:rsid w:val="65BC5D82"/>
    <w:rsid w:val="65C07E97"/>
    <w:rsid w:val="65CB4257"/>
    <w:rsid w:val="65E74497"/>
    <w:rsid w:val="66160A5D"/>
    <w:rsid w:val="662939DD"/>
    <w:rsid w:val="66855FE8"/>
    <w:rsid w:val="669311FE"/>
    <w:rsid w:val="66E81304"/>
    <w:rsid w:val="67096EE0"/>
    <w:rsid w:val="67223054"/>
    <w:rsid w:val="679A6B60"/>
    <w:rsid w:val="67CB2987"/>
    <w:rsid w:val="67D1371F"/>
    <w:rsid w:val="67DE4DFD"/>
    <w:rsid w:val="67F509B6"/>
    <w:rsid w:val="67F940AD"/>
    <w:rsid w:val="681771F2"/>
    <w:rsid w:val="6818337B"/>
    <w:rsid w:val="681B754A"/>
    <w:rsid w:val="68284248"/>
    <w:rsid w:val="688260EE"/>
    <w:rsid w:val="68870373"/>
    <w:rsid w:val="68883BB9"/>
    <w:rsid w:val="68E872B4"/>
    <w:rsid w:val="694A4333"/>
    <w:rsid w:val="695F5AF7"/>
    <w:rsid w:val="69963AD2"/>
    <w:rsid w:val="69986947"/>
    <w:rsid w:val="699D113B"/>
    <w:rsid w:val="69AC4853"/>
    <w:rsid w:val="69C63BE8"/>
    <w:rsid w:val="6A8B4DE6"/>
    <w:rsid w:val="6A9627D4"/>
    <w:rsid w:val="6AB33395"/>
    <w:rsid w:val="6AC06601"/>
    <w:rsid w:val="6ADC53B5"/>
    <w:rsid w:val="6AEB3B58"/>
    <w:rsid w:val="6B4C659B"/>
    <w:rsid w:val="6B7638CD"/>
    <w:rsid w:val="6B8E5D8C"/>
    <w:rsid w:val="6BA62116"/>
    <w:rsid w:val="6C2B0615"/>
    <w:rsid w:val="6C5C5BFF"/>
    <w:rsid w:val="6CB47DD0"/>
    <w:rsid w:val="6CBB5A6A"/>
    <w:rsid w:val="6CF43C16"/>
    <w:rsid w:val="6D0C5EB1"/>
    <w:rsid w:val="6D481DA1"/>
    <w:rsid w:val="6D705A4C"/>
    <w:rsid w:val="6DAD64FC"/>
    <w:rsid w:val="6DBE709B"/>
    <w:rsid w:val="6DD30872"/>
    <w:rsid w:val="6E291497"/>
    <w:rsid w:val="6E500F9B"/>
    <w:rsid w:val="6E8A7FFF"/>
    <w:rsid w:val="6EA51532"/>
    <w:rsid w:val="6EAF64FA"/>
    <w:rsid w:val="6EB05DDB"/>
    <w:rsid w:val="6EB73D6D"/>
    <w:rsid w:val="6EBF2436"/>
    <w:rsid w:val="6F200A27"/>
    <w:rsid w:val="6F29492E"/>
    <w:rsid w:val="6F4B76DB"/>
    <w:rsid w:val="6F791BF8"/>
    <w:rsid w:val="6FFB4B45"/>
    <w:rsid w:val="700874E9"/>
    <w:rsid w:val="702B4DE9"/>
    <w:rsid w:val="704F2701"/>
    <w:rsid w:val="70547291"/>
    <w:rsid w:val="70652FBE"/>
    <w:rsid w:val="709A30D7"/>
    <w:rsid w:val="70C52592"/>
    <w:rsid w:val="70CB7542"/>
    <w:rsid w:val="70F4390A"/>
    <w:rsid w:val="71157AE0"/>
    <w:rsid w:val="71540C9E"/>
    <w:rsid w:val="71733967"/>
    <w:rsid w:val="71AB71A5"/>
    <w:rsid w:val="71C66A38"/>
    <w:rsid w:val="721B0FFE"/>
    <w:rsid w:val="726912FF"/>
    <w:rsid w:val="72D2061C"/>
    <w:rsid w:val="72F9428D"/>
    <w:rsid w:val="7309250F"/>
    <w:rsid w:val="73335756"/>
    <w:rsid w:val="73474A08"/>
    <w:rsid w:val="73537D29"/>
    <w:rsid w:val="735C607F"/>
    <w:rsid w:val="73656CBC"/>
    <w:rsid w:val="73F13500"/>
    <w:rsid w:val="748408E0"/>
    <w:rsid w:val="74A77C48"/>
    <w:rsid w:val="74D755EF"/>
    <w:rsid w:val="74EC5243"/>
    <w:rsid w:val="74EF2E11"/>
    <w:rsid w:val="74FC6623"/>
    <w:rsid w:val="74FD2EFA"/>
    <w:rsid w:val="752422AE"/>
    <w:rsid w:val="75485E03"/>
    <w:rsid w:val="75F06F74"/>
    <w:rsid w:val="760D141A"/>
    <w:rsid w:val="760D4E03"/>
    <w:rsid w:val="761F1AC7"/>
    <w:rsid w:val="76280086"/>
    <w:rsid w:val="763F7FFD"/>
    <w:rsid w:val="76893332"/>
    <w:rsid w:val="76905E20"/>
    <w:rsid w:val="76CA70DF"/>
    <w:rsid w:val="76DF1B2C"/>
    <w:rsid w:val="77397202"/>
    <w:rsid w:val="77E51E93"/>
    <w:rsid w:val="780D467F"/>
    <w:rsid w:val="784032B8"/>
    <w:rsid w:val="787F5073"/>
    <w:rsid w:val="78835598"/>
    <w:rsid w:val="78A5190E"/>
    <w:rsid w:val="78BD5DD8"/>
    <w:rsid w:val="78F55B4D"/>
    <w:rsid w:val="79377247"/>
    <w:rsid w:val="799424EB"/>
    <w:rsid w:val="79A5719A"/>
    <w:rsid w:val="79D01767"/>
    <w:rsid w:val="79D123DE"/>
    <w:rsid w:val="79D85BF8"/>
    <w:rsid w:val="7A2B58B4"/>
    <w:rsid w:val="7A3F46E7"/>
    <w:rsid w:val="7A4107C0"/>
    <w:rsid w:val="7ABD05BD"/>
    <w:rsid w:val="7ACD77ED"/>
    <w:rsid w:val="7B35311D"/>
    <w:rsid w:val="7B4E6448"/>
    <w:rsid w:val="7B921A5A"/>
    <w:rsid w:val="7BD90129"/>
    <w:rsid w:val="7BFE4E19"/>
    <w:rsid w:val="7C7F4C71"/>
    <w:rsid w:val="7C835FA6"/>
    <w:rsid w:val="7C9E08A1"/>
    <w:rsid w:val="7CC03B4D"/>
    <w:rsid w:val="7D057A1D"/>
    <w:rsid w:val="7D455C97"/>
    <w:rsid w:val="7D8A73EF"/>
    <w:rsid w:val="7DA45409"/>
    <w:rsid w:val="7DB673F6"/>
    <w:rsid w:val="7DD41044"/>
    <w:rsid w:val="7DEE2852"/>
    <w:rsid w:val="7E1C4B16"/>
    <w:rsid w:val="7E36093C"/>
    <w:rsid w:val="7E386998"/>
    <w:rsid w:val="7E60376D"/>
    <w:rsid w:val="7E735DAC"/>
    <w:rsid w:val="7E821BD9"/>
    <w:rsid w:val="7ECC7591"/>
    <w:rsid w:val="7ED50625"/>
    <w:rsid w:val="7FB0645C"/>
    <w:rsid w:val="7FB77D46"/>
    <w:rsid w:val="7FB90DE8"/>
    <w:rsid w:val="7FD11C14"/>
    <w:rsid w:val="7FFA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6">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7">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8">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Body Text"/>
    <w:basedOn w:val="1"/>
    <w:link w:val="32"/>
    <w:qFormat/>
    <w:uiPriority w:val="0"/>
    <w:pPr>
      <w:spacing w:after="120"/>
    </w:pPr>
  </w:style>
  <w:style w:type="paragraph" w:styleId="11">
    <w:name w:val="Body Text Indent"/>
    <w:basedOn w:val="1"/>
    <w:link w:val="34"/>
    <w:qFormat/>
    <w:uiPriority w:val="0"/>
    <w:pPr>
      <w:widowControl/>
      <w:jc w:val="left"/>
    </w:pPr>
    <w:rPr>
      <w:rFonts w:ascii="宋体" w:hAnsi="宋体" w:cs="宋体"/>
      <w:kern w:val="0"/>
      <w:sz w:val="24"/>
    </w:rPr>
  </w:style>
  <w:style w:type="paragraph" w:styleId="12">
    <w:name w:val="Plain Text"/>
    <w:basedOn w:val="1"/>
    <w:link w:val="35"/>
    <w:qFormat/>
    <w:uiPriority w:val="0"/>
    <w:pPr>
      <w:adjustRightInd w:val="0"/>
      <w:spacing w:line="312" w:lineRule="atLeast"/>
      <w:textAlignment w:val="baseline"/>
    </w:pPr>
    <w:rPr>
      <w:rFonts w:ascii="宋体" w:hAnsi="Courier New"/>
      <w:kern w:val="0"/>
      <w:szCs w:val="21"/>
    </w:rPr>
  </w:style>
  <w:style w:type="paragraph" w:styleId="13">
    <w:name w:val="Date"/>
    <w:basedOn w:val="1"/>
    <w:next w:val="1"/>
    <w:qFormat/>
    <w:uiPriority w:val="0"/>
    <w:pPr>
      <w:ind w:left="100" w:leftChars="2500"/>
    </w:pPr>
    <w:rPr>
      <w:sz w:val="28"/>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1"/>
    <w:qFormat/>
    <w:uiPriority w:val="0"/>
    <w:rPr>
      <w:sz w:val="18"/>
      <w:szCs w:val="18"/>
    </w:rPr>
  </w:style>
  <w:style w:type="paragraph" w:styleId="16">
    <w:name w:val="footer"/>
    <w:basedOn w:val="1"/>
    <w:link w:val="30"/>
    <w:qFormat/>
    <w:uiPriority w:val="0"/>
    <w:pPr>
      <w:tabs>
        <w:tab w:val="center" w:pos="4153"/>
        <w:tab w:val="right" w:pos="8306"/>
      </w:tabs>
      <w:snapToGrid w:val="0"/>
      <w:jc w:val="left"/>
    </w:pPr>
    <w:rPr>
      <w:sz w:val="18"/>
      <w:szCs w:val="18"/>
    </w:rPr>
  </w:style>
  <w:style w:type="paragraph" w:styleId="17">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0"/>
    <w:pPr>
      <w:widowControl/>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2"/>
    <w:basedOn w:val="11"/>
    <w:link w:val="33"/>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Emphasis"/>
    <w:basedOn w:val="24"/>
    <w:qFormat/>
    <w:uiPriority w:val="20"/>
    <w:rPr>
      <w:color w:val="CC0000"/>
      <w:sz w:val="24"/>
      <w:szCs w:val="24"/>
    </w:rPr>
  </w:style>
  <w:style w:type="character" w:styleId="27">
    <w:name w:val="Hyperlink"/>
    <w:qFormat/>
    <w:uiPriority w:val="99"/>
    <w:rPr>
      <w:color w:val="000000"/>
      <w:u w:val="none"/>
    </w:rPr>
  </w:style>
  <w:style w:type="character" w:customStyle="1" w:styleId="28">
    <w:name w:val="页眉 Char"/>
    <w:basedOn w:val="24"/>
    <w:link w:val="17"/>
    <w:qFormat/>
    <w:uiPriority w:val="99"/>
    <w:rPr>
      <w:kern w:val="2"/>
      <w:sz w:val="18"/>
      <w:szCs w:val="18"/>
    </w:rPr>
  </w:style>
  <w:style w:type="character" w:customStyle="1" w:styleId="29">
    <w:name w:val="so-ask-best"/>
    <w:basedOn w:val="24"/>
    <w:qFormat/>
    <w:uiPriority w:val="0"/>
  </w:style>
  <w:style w:type="character" w:customStyle="1" w:styleId="30">
    <w:name w:val="页脚 Char"/>
    <w:basedOn w:val="24"/>
    <w:link w:val="16"/>
    <w:qFormat/>
    <w:uiPriority w:val="99"/>
    <w:rPr>
      <w:kern w:val="2"/>
      <w:sz w:val="18"/>
      <w:szCs w:val="18"/>
    </w:rPr>
  </w:style>
  <w:style w:type="character" w:customStyle="1" w:styleId="31">
    <w:name w:val="批注框文本 Char"/>
    <w:basedOn w:val="24"/>
    <w:link w:val="15"/>
    <w:qFormat/>
    <w:uiPriority w:val="0"/>
    <w:rPr>
      <w:kern w:val="2"/>
      <w:sz w:val="18"/>
      <w:szCs w:val="18"/>
    </w:rPr>
  </w:style>
  <w:style w:type="character" w:customStyle="1" w:styleId="32">
    <w:name w:val="正文文本 Char"/>
    <w:basedOn w:val="24"/>
    <w:link w:val="10"/>
    <w:qFormat/>
    <w:uiPriority w:val="0"/>
    <w:rPr>
      <w:kern w:val="2"/>
      <w:sz w:val="21"/>
      <w:szCs w:val="24"/>
    </w:rPr>
  </w:style>
  <w:style w:type="character" w:customStyle="1" w:styleId="33">
    <w:name w:val="正文首行缩进 2 Char"/>
    <w:basedOn w:val="34"/>
    <w:link w:val="21"/>
    <w:qFormat/>
    <w:uiPriority w:val="0"/>
  </w:style>
  <w:style w:type="character" w:customStyle="1" w:styleId="34">
    <w:name w:val="正文文本缩进 Char"/>
    <w:basedOn w:val="24"/>
    <w:link w:val="11"/>
    <w:qFormat/>
    <w:uiPriority w:val="0"/>
    <w:rPr>
      <w:rFonts w:ascii="宋体" w:hAnsi="宋体" w:cs="宋体"/>
      <w:sz w:val="24"/>
      <w:szCs w:val="24"/>
    </w:rPr>
  </w:style>
  <w:style w:type="character" w:customStyle="1" w:styleId="35">
    <w:name w:val="纯文本 Char"/>
    <w:link w:val="12"/>
    <w:qFormat/>
    <w:uiPriority w:val="0"/>
    <w:rPr>
      <w:rFonts w:ascii="宋体" w:hAnsi="Courier New" w:cs="宋体"/>
      <w:sz w:val="21"/>
      <w:szCs w:val="21"/>
    </w:rPr>
  </w:style>
  <w:style w:type="character" w:customStyle="1" w:styleId="36">
    <w:name w:val="副标题 Char"/>
    <w:basedOn w:val="24"/>
    <w:link w:val="18"/>
    <w:qFormat/>
    <w:uiPriority w:val="11"/>
    <w:rPr>
      <w:rFonts w:ascii="Cambria" w:hAnsi="Cambria"/>
      <w:b/>
      <w:bCs/>
      <w:kern w:val="28"/>
      <w:sz w:val="32"/>
      <w:szCs w:val="32"/>
    </w:rPr>
  </w:style>
  <w:style w:type="paragraph" w:customStyle="1" w:styleId="37">
    <w:name w:val="正文文本缩进 New"/>
    <w:basedOn w:val="1"/>
    <w:qFormat/>
    <w:uiPriority w:val="0"/>
  </w:style>
  <w:style w:type="paragraph" w:customStyle="1" w:styleId="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9">
    <w:name w:val="blockquote"/>
    <w:basedOn w:val="1"/>
    <w:qFormat/>
    <w:uiPriority w:val="0"/>
    <w:pPr>
      <w:widowControl/>
      <w:jc w:val="left"/>
    </w:pPr>
    <w:rPr>
      <w:rFonts w:ascii="宋体" w:hAnsi="宋体" w:cs="宋体"/>
      <w:kern w:val="0"/>
      <w:sz w:val="24"/>
    </w:rPr>
  </w:style>
  <w:style w:type="paragraph" w:customStyle="1" w:styleId="4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1">
    <w:name w:val="默认段落字体 Para Char"/>
    <w:basedOn w:val="1"/>
    <w:qFormat/>
    <w:uiPriority w:val="0"/>
    <w:pPr>
      <w:adjustRightInd w:val="0"/>
      <w:spacing w:line="360" w:lineRule="auto"/>
    </w:pPr>
    <w:rPr>
      <w:kern w:val="0"/>
      <w:sz w:val="24"/>
      <w:szCs w:val="20"/>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列出段落1"/>
    <w:basedOn w:val="1"/>
    <w:qFormat/>
    <w:uiPriority w:val="34"/>
    <w:pPr>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1101</Words>
  <Characters>6282</Characters>
  <Lines>52</Lines>
  <Paragraphs>14</Paragraphs>
  <TotalTime>15</TotalTime>
  <ScaleCrop>false</ScaleCrop>
  <LinksUpToDate>false</LinksUpToDate>
  <CharactersWithSpaces>7369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COFCOTUNHE\qinyg</dc:creator>
  <cp:lastModifiedBy>lyl</cp:lastModifiedBy>
  <cp:lastPrinted>2015-02-02T00:44:00Z</cp:lastPrinted>
  <dcterms:modified xsi:type="dcterms:W3CDTF">2019-12-13T04:52:14Z</dcterms:modified>
  <dc:title>新干县工业园河西片区A-2、A-7、A-9、A-11区块土方工程,经有关部门立项,现决定对该项目施工进行公开招标,现就有关情况公告如下: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