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r>
        <w:rPr>
          <w:rFonts w:hint="eastAsia" w:ascii="宋体" w:hAnsi="宋体"/>
          <w:b/>
          <w:color w:val="auto"/>
          <w:sz w:val="72"/>
          <w:szCs w:val="72"/>
          <w:highlight w:val="none"/>
        </w:rPr>
        <w:t>谈判采购文件</w:t>
      </w:r>
    </w:p>
    <w:p>
      <w:pPr>
        <w:spacing w:beforeLines="100" w:afterLines="50" w:line="600" w:lineRule="exact"/>
        <w:jc w:val="center"/>
        <w:rPr>
          <w:rFonts w:ascii="宋体" w:hAnsi="宋体"/>
          <w:b/>
          <w:color w:val="auto"/>
          <w:sz w:val="72"/>
          <w:szCs w:val="72"/>
          <w:highlight w:val="none"/>
        </w:rPr>
      </w:pPr>
    </w:p>
    <w:p>
      <w:pPr>
        <w:spacing w:beforeLines="100" w:afterLines="50" w:line="600" w:lineRule="exact"/>
        <w:jc w:val="center"/>
        <w:rPr>
          <w:rFonts w:ascii="宋体" w:hAnsi="宋体"/>
          <w:b/>
          <w:color w:val="auto"/>
          <w:sz w:val="72"/>
          <w:szCs w:val="72"/>
          <w:highlight w:val="none"/>
        </w:rPr>
      </w:pPr>
    </w:p>
    <w:p>
      <w:pPr>
        <w:spacing w:line="400" w:lineRule="exact"/>
        <w:jc w:val="center"/>
        <w:rPr>
          <w:rFonts w:ascii="宋体" w:hAnsi="宋体"/>
          <w:b/>
          <w:color w:val="auto"/>
          <w:sz w:val="32"/>
          <w:szCs w:val="32"/>
          <w:highlight w:val="none"/>
        </w:rPr>
      </w:pPr>
    </w:p>
    <w:p>
      <w:pPr>
        <w:spacing w:line="400" w:lineRule="exact"/>
        <w:ind w:right="804" w:rightChars="383" w:firstLine="643" w:firstLineChars="200"/>
        <w:rPr>
          <w:rFonts w:ascii="宋体" w:hAnsi="宋体"/>
          <w:b/>
          <w:color w:val="auto"/>
          <w:sz w:val="32"/>
          <w:szCs w:val="32"/>
          <w:highlight w:val="none"/>
        </w:rPr>
      </w:pPr>
      <w:r>
        <w:rPr>
          <w:rFonts w:hint="eastAsia" w:ascii="宋体" w:hAnsi="宋体"/>
          <w:b/>
          <w:color w:val="auto"/>
          <w:sz w:val="32"/>
          <w:szCs w:val="32"/>
          <w:highlight w:val="none"/>
        </w:rPr>
        <w:t>项目编号：</w:t>
      </w:r>
      <w:r>
        <w:rPr>
          <w:rFonts w:hint="eastAsia" w:ascii="宋体" w:hAnsi="宋体" w:cs="宋体"/>
          <w:b/>
          <w:bCs/>
          <w:color w:val="auto"/>
          <w:sz w:val="32"/>
          <w:szCs w:val="32"/>
          <w:highlight w:val="none"/>
          <w:shd w:val="clear" w:color="auto" w:fill="FFFFFF"/>
        </w:rPr>
        <w:t>GIEG2020HZ-0041</w:t>
      </w:r>
    </w:p>
    <w:p>
      <w:pPr>
        <w:spacing w:line="400" w:lineRule="exact"/>
        <w:ind w:right="804" w:rightChars="383"/>
        <w:jc w:val="center"/>
        <w:rPr>
          <w:rFonts w:ascii="宋体" w:hAnsi="宋体"/>
          <w:b/>
          <w:color w:val="auto"/>
          <w:sz w:val="32"/>
          <w:szCs w:val="32"/>
          <w:highlight w:val="none"/>
        </w:rPr>
      </w:pPr>
    </w:p>
    <w:p>
      <w:pPr>
        <w:spacing w:line="400" w:lineRule="exact"/>
        <w:ind w:left="2276" w:leftChars="319" w:right="-44" w:rightChars="-21" w:hanging="1606" w:hangingChars="500"/>
        <w:rPr>
          <w:rFonts w:ascii="宋体" w:hAnsi="宋体"/>
          <w:b/>
          <w:color w:val="auto"/>
          <w:sz w:val="32"/>
          <w:szCs w:val="32"/>
          <w:highlight w:val="none"/>
        </w:rPr>
      </w:pPr>
      <w:r>
        <w:rPr>
          <w:rFonts w:hint="eastAsia" w:ascii="宋体" w:hAnsi="宋体"/>
          <w:b/>
          <w:color w:val="auto"/>
          <w:sz w:val="32"/>
          <w:szCs w:val="32"/>
          <w:highlight w:val="none"/>
        </w:rPr>
        <w:t>项目名称：南宁国际会展中心除“四害”综合治理服务采购</w:t>
      </w:r>
    </w:p>
    <w:p>
      <w:pPr>
        <w:spacing w:line="400" w:lineRule="exact"/>
        <w:ind w:right="804" w:rightChars="383"/>
        <w:jc w:val="center"/>
        <w:rPr>
          <w:rFonts w:ascii="宋体" w:hAnsi="宋体"/>
          <w:b/>
          <w:color w:val="auto"/>
          <w:sz w:val="32"/>
          <w:szCs w:val="32"/>
          <w:highlight w:val="none"/>
        </w:rPr>
      </w:pPr>
    </w:p>
    <w:p>
      <w:pPr>
        <w:spacing w:line="400" w:lineRule="exact"/>
        <w:ind w:right="804" w:rightChars="383" w:firstLine="643" w:firstLineChars="200"/>
        <w:rPr>
          <w:rFonts w:ascii="宋体" w:hAnsi="宋体"/>
          <w:b/>
          <w:color w:val="auto"/>
          <w:sz w:val="32"/>
          <w:szCs w:val="32"/>
          <w:highlight w:val="none"/>
        </w:rPr>
      </w:pPr>
      <w:r>
        <w:rPr>
          <w:rFonts w:hint="eastAsia" w:ascii="宋体" w:hAnsi="宋体"/>
          <w:b/>
          <w:color w:val="auto"/>
          <w:sz w:val="32"/>
          <w:szCs w:val="32"/>
          <w:highlight w:val="none"/>
        </w:rPr>
        <w:t>采购单位：广西东博会场馆运营有限公司</w:t>
      </w:r>
    </w:p>
    <w:p>
      <w:pPr>
        <w:spacing w:line="400" w:lineRule="exact"/>
        <w:ind w:right="804" w:rightChars="383"/>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hint="eastAsia" w:ascii="宋体" w:hAnsi="宋体"/>
          <w:b/>
          <w:color w:val="auto"/>
          <w:sz w:val="32"/>
          <w:szCs w:val="32"/>
          <w:highlight w:val="none"/>
        </w:rPr>
        <w:t>2020年4月</w:t>
      </w: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sectPr>
          <w:headerReference r:id="rId4" w:type="first"/>
          <w:headerReference r:id="rId3" w:type="default"/>
          <w:footerReference r:id="rId5" w:type="default"/>
          <w:footerReference r:id="rId6" w:type="even"/>
          <w:pgSz w:w="11906" w:h="16838"/>
          <w:pgMar w:top="1440" w:right="1646" w:bottom="1440" w:left="1800" w:header="851" w:footer="992" w:gutter="0"/>
          <w:pgNumType w:start="0"/>
          <w:cols w:space="425" w:num="1"/>
          <w:titlePg/>
          <w:docGrid w:type="lines" w:linePitch="312" w:charSpace="0"/>
        </w:sect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44"/>
          <w:szCs w:val="44"/>
          <w:highlight w:val="none"/>
        </w:rPr>
      </w:pPr>
      <w:r>
        <w:rPr>
          <w:rFonts w:hint="eastAsia" w:ascii="宋体" w:hAnsi="宋体"/>
          <w:b/>
          <w:color w:val="auto"/>
          <w:sz w:val="44"/>
          <w:szCs w:val="44"/>
          <w:highlight w:val="none"/>
        </w:rPr>
        <w:t>目  录</w:t>
      </w:r>
    </w:p>
    <w:p>
      <w:pPr>
        <w:spacing w:line="400" w:lineRule="exact"/>
        <w:jc w:val="center"/>
        <w:rPr>
          <w:rFonts w:ascii="宋体" w:hAnsi="宋体"/>
          <w:b/>
          <w:color w:val="auto"/>
          <w:sz w:val="44"/>
          <w:szCs w:val="44"/>
          <w:highlight w:val="none"/>
        </w:rPr>
      </w:pPr>
    </w:p>
    <w:p>
      <w:pPr>
        <w:pStyle w:val="41"/>
        <w:tabs>
          <w:tab w:val="left" w:pos="1230"/>
          <w:tab w:val="right" w:leader="dot" w:pos="8296"/>
        </w:tabs>
        <w:spacing w:line="360" w:lineRule="auto"/>
        <w:rPr>
          <w:rFonts w:ascii="宋体" w:hAnsi="宋体"/>
          <w:color w:val="auto"/>
          <w:sz w:val="24"/>
          <w:highlight w:val="none"/>
        </w:rPr>
      </w:pPr>
      <w:r>
        <w:rPr>
          <w:rFonts w:ascii="宋体" w:hAnsi="宋体"/>
          <w:b/>
          <w:color w:val="auto"/>
          <w:sz w:val="24"/>
          <w:highlight w:val="none"/>
        </w:rPr>
        <w:fldChar w:fldCharType="begin"/>
      </w:r>
      <w:r>
        <w:rPr>
          <w:rFonts w:hint="eastAsia" w:ascii="宋体" w:hAnsi="宋体"/>
          <w:b/>
          <w:color w:val="auto"/>
          <w:sz w:val="24"/>
          <w:highlight w:val="none"/>
        </w:rPr>
        <w:instrText xml:space="preserve">TOC \o "1-3" \h \z \u</w:instrText>
      </w:r>
      <w:r>
        <w:rPr>
          <w:rFonts w:ascii="宋体" w:hAnsi="宋体"/>
          <w:b/>
          <w:color w:val="auto"/>
          <w:sz w:val="24"/>
          <w:highlight w:val="none"/>
        </w:rPr>
        <w:fldChar w:fldCharType="separate"/>
      </w:r>
      <w:r>
        <w:rPr>
          <w:color w:val="auto"/>
          <w:highlight w:val="none"/>
        </w:rPr>
        <w:fldChar w:fldCharType="begin"/>
      </w:r>
      <w:r>
        <w:rPr>
          <w:color w:val="auto"/>
          <w:highlight w:val="none"/>
        </w:rPr>
        <w:instrText xml:space="preserve"> HYPERLINK \l "_Toc393040184" </w:instrText>
      </w:r>
      <w:r>
        <w:rPr>
          <w:color w:val="auto"/>
          <w:highlight w:val="none"/>
        </w:rPr>
        <w:fldChar w:fldCharType="separate"/>
      </w:r>
      <w:r>
        <w:rPr>
          <w:rStyle w:val="54"/>
          <w:rFonts w:hint="eastAsia" w:ascii="宋体" w:hAnsi="宋体"/>
          <w:color w:val="auto"/>
          <w:sz w:val="24"/>
          <w:highlight w:val="none"/>
        </w:rPr>
        <w:t>第一章</w:t>
      </w:r>
      <w:r>
        <w:rPr>
          <w:rFonts w:ascii="宋体" w:hAnsi="宋体"/>
          <w:color w:val="auto"/>
          <w:sz w:val="24"/>
          <w:highlight w:val="none"/>
        </w:rPr>
        <w:tab/>
      </w:r>
      <w:r>
        <w:rPr>
          <w:rStyle w:val="54"/>
          <w:rFonts w:hint="eastAsia" w:ascii="宋体" w:hAnsi="宋体"/>
          <w:color w:val="auto"/>
          <w:sz w:val="24"/>
          <w:highlight w:val="none"/>
        </w:rPr>
        <w:t>谈判采购公告</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_Toc393040184 \h </w:instrText>
      </w:r>
      <w:r>
        <w:rPr>
          <w:rFonts w:ascii="宋体" w:hAnsi="宋体"/>
          <w:color w:val="auto"/>
          <w:sz w:val="24"/>
          <w:highlight w:val="none"/>
        </w:rPr>
        <w:fldChar w:fldCharType="separate"/>
      </w:r>
      <w:r>
        <w:rPr>
          <w:rFonts w:ascii="宋体" w:hAnsi="宋体"/>
          <w:color w:val="auto"/>
          <w:sz w:val="24"/>
          <w:highlight w:val="none"/>
        </w:rPr>
        <w:t>1</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"_Toc393040185" </w:instrText>
      </w:r>
      <w:r>
        <w:rPr>
          <w:color w:val="auto"/>
          <w:highlight w:val="none"/>
        </w:rPr>
        <w:fldChar w:fldCharType="separate"/>
      </w:r>
      <w:r>
        <w:rPr>
          <w:rStyle w:val="54"/>
          <w:rFonts w:hint="eastAsia" w:ascii="宋体" w:hAnsi="宋体"/>
          <w:color w:val="auto"/>
          <w:sz w:val="24"/>
          <w:highlight w:val="none"/>
        </w:rPr>
        <w:t>第二章供应商须知</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_Toc393040185 \h </w:instrText>
      </w:r>
      <w:r>
        <w:rPr>
          <w:rFonts w:ascii="宋体" w:hAnsi="宋体"/>
          <w:color w:val="auto"/>
          <w:sz w:val="24"/>
          <w:highlight w:val="none"/>
        </w:rPr>
        <w:fldChar w:fldCharType="separate"/>
      </w:r>
      <w:r>
        <w:rPr>
          <w:rFonts w:ascii="宋体" w:hAnsi="宋体"/>
          <w:color w:val="auto"/>
          <w:sz w:val="24"/>
          <w:highlight w:val="none"/>
        </w:rPr>
        <w:t>2</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"_Toc393040186" </w:instrText>
      </w:r>
      <w:r>
        <w:rPr>
          <w:color w:val="auto"/>
          <w:highlight w:val="none"/>
        </w:rPr>
        <w:fldChar w:fldCharType="separate"/>
      </w:r>
      <w:r>
        <w:rPr>
          <w:rStyle w:val="54"/>
          <w:rFonts w:hint="eastAsia" w:ascii="宋体" w:hAnsi="宋体"/>
          <w:color w:val="auto"/>
          <w:sz w:val="24"/>
          <w:highlight w:val="none"/>
        </w:rPr>
        <w:t>第三章项目需求</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_Toc393040186 \h </w:instrText>
      </w:r>
      <w:r>
        <w:rPr>
          <w:rFonts w:ascii="宋体" w:hAnsi="宋体"/>
          <w:color w:val="auto"/>
          <w:sz w:val="24"/>
          <w:highlight w:val="none"/>
        </w:rPr>
        <w:fldChar w:fldCharType="separate"/>
      </w:r>
      <w:r>
        <w:rPr>
          <w:rFonts w:ascii="宋体" w:hAnsi="宋体"/>
          <w:color w:val="auto"/>
          <w:sz w:val="24"/>
          <w:highlight w:val="none"/>
        </w:rPr>
        <w:t>9</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"_Toc393040187" </w:instrText>
      </w:r>
      <w:r>
        <w:rPr>
          <w:color w:val="auto"/>
          <w:highlight w:val="none"/>
        </w:rPr>
        <w:fldChar w:fldCharType="separate"/>
      </w:r>
      <w:r>
        <w:rPr>
          <w:rStyle w:val="54"/>
          <w:rFonts w:hint="eastAsia" w:ascii="宋体" w:hAnsi="宋体"/>
          <w:color w:val="auto"/>
          <w:sz w:val="24"/>
          <w:highlight w:val="none"/>
        </w:rPr>
        <w:t>第四章评审方法</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_Toc393040187 \h </w:instrText>
      </w:r>
      <w:r>
        <w:rPr>
          <w:rFonts w:ascii="宋体" w:hAnsi="宋体"/>
          <w:color w:val="auto"/>
          <w:sz w:val="24"/>
          <w:highlight w:val="none"/>
        </w:rPr>
        <w:fldChar w:fldCharType="separate"/>
      </w:r>
      <w:r>
        <w:rPr>
          <w:rFonts w:ascii="宋体" w:hAnsi="宋体"/>
          <w:color w:val="auto"/>
          <w:sz w:val="24"/>
          <w:highlight w:val="none"/>
        </w:rPr>
        <w:t>16</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right" w:leader="dot" w:pos="8296"/>
        </w:tabs>
        <w:spacing w:line="360" w:lineRule="auto"/>
        <w:rPr>
          <w:rFonts w:ascii="宋体" w:hAnsi="宋体"/>
          <w:color w:val="auto"/>
          <w:sz w:val="24"/>
          <w:highlight w:val="none"/>
        </w:rPr>
      </w:pPr>
      <w:r>
        <w:rPr>
          <w:color w:val="auto"/>
          <w:highlight w:val="none"/>
        </w:rPr>
        <w:fldChar w:fldCharType="begin"/>
      </w:r>
      <w:r>
        <w:rPr>
          <w:color w:val="auto"/>
          <w:highlight w:val="none"/>
        </w:rPr>
        <w:instrText xml:space="preserve"> HYPERLINK \l "_Toc393040191" </w:instrText>
      </w:r>
      <w:r>
        <w:rPr>
          <w:color w:val="auto"/>
          <w:highlight w:val="none"/>
        </w:rPr>
        <w:fldChar w:fldCharType="separate"/>
      </w:r>
      <w:r>
        <w:rPr>
          <w:rStyle w:val="54"/>
          <w:rFonts w:hint="eastAsia" w:ascii="宋体" w:hAnsi="宋体"/>
          <w:color w:val="auto"/>
          <w:sz w:val="24"/>
          <w:highlight w:val="none"/>
        </w:rPr>
        <w:t>第五章响应文件格式</w:t>
      </w:r>
      <w:r>
        <w:rPr>
          <w:rFonts w:ascii="宋体" w:hAnsi="宋体"/>
          <w:color w:val="auto"/>
          <w:sz w:val="24"/>
          <w:highlight w:val="none"/>
        </w:rPr>
        <w:tab/>
      </w:r>
      <w:r>
        <w:rPr>
          <w:rFonts w:ascii="宋体" w:hAnsi="宋体"/>
          <w:color w:val="auto"/>
          <w:sz w:val="24"/>
          <w:highlight w:val="none"/>
        </w:rPr>
        <w:fldChar w:fldCharType="begin"/>
      </w:r>
      <w:r>
        <w:rPr>
          <w:rFonts w:ascii="宋体" w:hAnsi="宋体"/>
          <w:color w:val="auto"/>
          <w:sz w:val="24"/>
          <w:highlight w:val="none"/>
        </w:rPr>
        <w:instrText xml:space="preserve"> PAGEREF _Toc393040191 \h </w:instrText>
      </w:r>
      <w:r>
        <w:rPr>
          <w:rFonts w:ascii="宋体" w:hAnsi="宋体"/>
          <w:color w:val="auto"/>
          <w:sz w:val="24"/>
          <w:highlight w:val="none"/>
        </w:rPr>
        <w:fldChar w:fldCharType="separate"/>
      </w:r>
      <w:r>
        <w:rPr>
          <w:rFonts w:ascii="宋体" w:hAnsi="宋体"/>
          <w:color w:val="auto"/>
          <w:sz w:val="24"/>
          <w:highlight w:val="none"/>
        </w:rPr>
        <w:t>17</w:t>
      </w:r>
      <w:r>
        <w:rPr>
          <w:rFonts w:ascii="宋体" w:hAnsi="宋体"/>
          <w:color w:val="auto"/>
          <w:sz w:val="24"/>
          <w:highlight w:val="none"/>
        </w:rPr>
        <w:fldChar w:fldCharType="end"/>
      </w:r>
      <w:r>
        <w:rPr>
          <w:rFonts w:ascii="宋体" w:hAnsi="宋体"/>
          <w:color w:val="auto"/>
          <w:sz w:val="24"/>
          <w:highlight w:val="none"/>
        </w:rPr>
        <w:fldChar w:fldCharType="end"/>
      </w:r>
    </w:p>
    <w:p>
      <w:pPr>
        <w:pStyle w:val="41"/>
        <w:tabs>
          <w:tab w:val="left" w:pos="1470"/>
          <w:tab w:val="right" w:leader="dot" w:pos="8296"/>
        </w:tabs>
        <w:spacing w:line="360" w:lineRule="auto"/>
        <w:outlineLvl w:val="0"/>
        <w:rPr>
          <w:rFonts w:ascii="宋体" w:hAnsi="宋体"/>
          <w:color w:val="auto"/>
          <w:sz w:val="24"/>
          <w:highlight w:val="none"/>
        </w:rPr>
      </w:pPr>
      <w:bookmarkStart w:id="0" w:name="_Toc69"/>
      <w:r>
        <w:rPr>
          <w:color w:val="auto"/>
          <w:highlight w:val="none"/>
        </w:rPr>
        <w:fldChar w:fldCharType="begin"/>
      </w:r>
      <w:r>
        <w:rPr>
          <w:color w:val="auto"/>
          <w:highlight w:val="none"/>
        </w:rPr>
        <w:instrText xml:space="preserve"> HYPERLINK \l "_Toc393040203" </w:instrText>
      </w:r>
      <w:r>
        <w:rPr>
          <w:color w:val="auto"/>
          <w:highlight w:val="none"/>
        </w:rPr>
        <w:fldChar w:fldCharType="separate"/>
      </w:r>
      <w:r>
        <w:rPr>
          <w:rStyle w:val="54"/>
          <w:rFonts w:hint="eastAsia" w:ascii="宋体" w:hAnsi="宋体"/>
          <w:color w:val="auto"/>
          <w:sz w:val="24"/>
          <w:highlight w:val="none"/>
        </w:rPr>
        <w:t>第六章合同主要条款</w:t>
      </w:r>
      <w:r>
        <w:rPr>
          <w:rFonts w:ascii="宋体" w:hAnsi="宋体"/>
          <w:color w:val="auto"/>
          <w:sz w:val="24"/>
          <w:highlight w:val="none"/>
        </w:rPr>
        <w:tab/>
      </w:r>
      <w:r>
        <w:rPr>
          <w:rFonts w:ascii="宋体" w:hAnsi="宋体"/>
          <w:color w:val="auto"/>
          <w:sz w:val="24"/>
          <w:highlight w:val="none"/>
        </w:rPr>
        <w:fldChar w:fldCharType="end"/>
      </w:r>
      <w:r>
        <w:rPr>
          <w:rFonts w:hint="eastAsia" w:ascii="宋体" w:hAnsi="宋体"/>
          <w:color w:val="auto"/>
          <w:sz w:val="24"/>
          <w:highlight w:val="none"/>
        </w:rPr>
        <w:t>25</w:t>
      </w:r>
      <w:bookmarkEnd w:id="0"/>
    </w:p>
    <w:p>
      <w:pPr>
        <w:spacing w:line="400" w:lineRule="exact"/>
        <w:jc w:val="center"/>
        <w:rPr>
          <w:rFonts w:ascii="宋体" w:hAnsi="宋体"/>
          <w:b/>
          <w:color w:val="auto"/>
          <w:sz w:val="32"/>
          <w:szCs w:val="32"/>
          <w:highlight w:val="none"/>
        </w:rPr>
      </w:pPr>
      <w:r>
        <w:rPr>
          <w:rFonts w:ascii="宋体" w:hAnsi="宋体"/>
          <w:b/>
          <w:color w:val="auto"/>
          <w:sz w:val="24"/>
          <w:highlight w:val="none"/>
        </w:rPr>
        <w:fldChar w:fldCharType="end"/>
      </w: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p>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pStyle w:val="3"/>
        <w:numPr>
          <w:ilvl w:val="0"/>
          <w:numId w:val="7"/>
        </w:numPr>
        <w:jc w:val="center"/>
        <w:rPr>
          <w:color w:val="auto"/>
          <w:highlight w:val="none"/>
        </w:rPr>
      </w:pPr>
      <w:bookmarkStart w:id="1" w:name="_Toc24662_WPSOffice_Level1"/>
      <w:bookmarkStart w:id="2" w:name="_Toc15945"/>
      <w:bookmarkStart w:id="3" w:name="_Toc393040184"/>
      <w:r>
        <w:rPr>
          <w:rFonts w:hint="eastAsia"/>
          <w:color w:val="auto"/>
          <w:highlight w:val="none"/>
        </w:rPr>
        <w:t>谈判采购公告</w:t>
      </w:r>
      <w:bookmarkEnd w:id="1"/>
      <w:bookmarkEnd w:id="2"/>
      <w:bookmarkEnd w:id="3"/>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广西东博会场馆运营有限公司除“四害”综合治理服务采购项目采用谈判方式进行采购，现将有关事项公告如下：</w:t>
      </w:r>
    </w:p>
    <w:p>
      <w:pPr>
        <w:spacing w:line="400" w:lineRule="exact"/>
        <w:ind w:firstLine="411" w:firstLineChars="196"/>
        <w:rPr>
          <w:rFonts w:ascii="宋体" w:hAnsi="宋体"/>
          <w:color w:val="auto"/>
          <w:szCs w:val="21"/>
          <w:highlight w:val="none"/>
          <w:u w:val="single"/>
        </w:rPr>
      </w:pPr>
      <w:r>
        <w:rPr>
          <w:rFonts w:hint="eastAsia" w:ascii="宋体" w:hAnsi="宋体"/>
          <w:bCs/>
          <w:color w:val="auto"/>
          <w:szCs w:val="21"/>
          <w:highlight w:val="none"/>
        </w:rPr>
        <w:t>一</w:t>
      </w:r>
      <w:r>
        <w:rPr>
          <w:rFonts w:hint="eastAsia" w:ascii="宋体" w:hAnsi="宋体"/>
          <w:b/>
          <w:color w:val="auto"/>
          <w:szCs w:val="21"/>
          <w:highlight w:val="none"/>
        </w:rPr>
        <w:t>、项目名称</w:t>
      </w:r>
      <w:r>
        <w:rPr>
          <w:rFonts w:hint="eastAsia" w:ascii="宋体" w:hAnsi="宋体"/>
          <w:color w:val="auto"/>
          <w:szCs w:val="21"/>
          <w:highlight w:val="none"/>
        </w:rPr>
        <w:t>：南宁国际会展中心除“四害”综合治理服务采购</w:t>
      </w:r>
    </w:p>
    <w:p>
      <w:pPr>
        <w:spacing w:line="400" w:lineRule="exact"/>
        <w:ind w:firstLine="843" w:firstLineChars="400"/>
        <w:rPr>
          <w:rFonts w:ascii="宋体" w:hAnsi="宋体"/>
          <w:color w:val="auto"/>
          <w:szCs w:val="21"/>
          <w:highlight w:val="none"/>
          <w:u w:val="single"/>
        </w:rPr>
      </w:pPr>
      <w:r>
        <w:rPr>
          <w:rFonts w:hint="eastAsia" w:ascii="宋体" w:hAnsi="宋体"/>
          <w:b/>
          <w:color w:val="auto"/>
          <w:szCs w:val="21"/>
          <w:highlight w:val="none"/>
        </w:rPr>
        <w:t>项目编号</w:t>
      </w:r>
      <w:r>
        <w:rPr>
          <w:rFonts w:hint="eastAsia" w:ascii="宋体" w:hAnsi="宋体"/>
          <w:color w:val="auto"/>
          <w:szCs w:val="21"/>
          <w:highlight w:val="none"/>
        </w:rPr>
        <w:t xml:space="preserve">：            </w:t>
      </w:r>
    </w:p>
    <w:p>
      <w:pPr>
        <w:tabs>
          <w:tab w:val="left" w:pos="815"/>
        </w:tabs>
        <w:snapToGrid w:val="0"/>
        <w:spacing w:line="360" w:lineRule="exact"/>
        <w:ind w:firstLine="422" w:firstLineChars="200"/>
        <w:rPr>
          <w:rFonts w:ascii="宋体" w:hAnsi="宋体" w:cs="Arial"/>
          <w:color w:val="auto"/>
          <w:szCs w:val="21"/>
          <w:highlight w:val="none"/>
        </w:rPr>
      </w:pPr>
      <w:r>
        <w:rPr>
          <w:rFonts w:hint="eastAsia" w:ascii="宋体" w:hAnsi="宋体" w:cs="Arial"/>
          <w:b/>
          <w:color w:val="auto"/>
          <w:szCs w:val="21"/>
          <w:highlight w:val="none"/>
        </w:rPr>
        <w:t>二、采购组织类型：</w:t>
      </w:r>
      <w:r>
        <w:rPr>
          <w:rFonts w:hint="eastAsia" w:ascii="宋体" w:hAnsi="宋体" w:cs="Arial"/>
          <w:color w:val="auto"/>
          <w:szCs w:val="21"/>
          <w:highlight w:val="none"/>
          <w:lang w:eastAsia="zh-CN"/>
        </w:rPr>
        <w:t>企业自行采购</w:t>
      </w:r>
      <w:r>
        <w:rPr>
          <w:rFonts w:hint="eastAsia" w:ascii="宋体" w:hAnsi="宋体" w:cs="Arial"/>
          <w:color w:val="auto"/>
          <w:szCs w:val="21"/>
          <w:highlight w:val="none"/>
        </w:rPr>
        <w:t>项目</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三、采购内容</w:t>
      </w:r>
      <w:r>
        <w:rPr>
          <w:rFonts w:hint="eastAsia" w:ascii="宋体" w:hAnsi="宋体"/>
          <w:color w:val="auto"/>
          <w:szCs w:val="21"/>
          <w:highlight w:val="none"/>
        </w:rPr>
        <w:t>：广西东博会场馆运营有限公司除“四害”综合治理服务采购项目会展中心红线范围内的</w:t>
      </w:r>
      <w:r>
        <w:rPr>
          <w:rFonts w:hint="eastAsia" w:ascii="宋体" w:hAnsi="宋体"/>
          <w:color w:val="auto"/>
          <w:szCs w:val="21"/>
          <w:highlight w:val="none"/>
          <w:lang w:eastAsia="zh-CN"/>
        </w:rPr>
        <w:t>所有建筑及室外区域</w:t>
      </w:r>
      <w:r>
        <w:rPr>
          <w:rFonts w:hint="eastAsia" w:ascii="宋体" w:hAnsi="宋体"/>
          <w:color w:val="auto"/>
          <w:szCs w:val="21"/>
          <w:highlight w:val="none"/>
        </w:rPr>
        <w:t>，项目预算（人民币）：8万元整。</w:t>
      </w:r>
    </w:p>
    <w:p>
      <w:pPr>
        <w:snapToGrid w:val="0"/>
        <w:spacing w:line="360" w:lineRule="exact"/>
        <w:ind w:firstLine="422" w:firstLineChars="200"/>
        <w:rPr>
          <w:rFonts w:ascii="宋体" w:hAnsi="宋体"/>
          <w:color w:val="auto"/>
          <w:szCs w:val="21"/>
          <w:highlight w:val="none"/>
        </w:rPr>
      </w:pPr>
      <w:r>
        <w:rPr>
          <w:rFonts w:hint="eastAsia" w:ascii="宋体" w:hAnsi="宋体"/>
          <w:b/>
          <w:color w:val="auto"/>
          <w:szCs w:val="21"/>
          <w:highlight w:val="none"/>
        </w:rPr>
        <w:t>四、供应商资格</w:t>
      </w:r>
      <w:r>
        <w:rPr>
          <w:rFonts w:hint="eastAsia" w:ascii="宋体" w:hAnsi="宋体"/>
          <w:color w:val="auto"/>
          <w:szCs w:val="21"/>
          <w:highlight w:val="none"/>
        </w:rPr>
        <w:t>：</w:t>
      </w:r>
    </w:p>
    <w:p>
      <w:pPr>
        <w:spacing w:line="400" w:lineRule="exact"/>
        <w:ind w:firstLine="525" w:firstLineChars="250"/>
        <w:rPr>
          <w:rFonts w:ascii="宋体" w:hAnsi="宋体" w:cs="Arial"/>
          <w:color w:val="auto"/>
          <w:szCs w:val="21"/>
          <w:highlight w:val="none"/>
        </w:rPr>
      </w:pPr>
      <w:r>
        <w:rPr>
          <w:rFonts w:hint="eastAsia" w:ascii="宋体" w:hAnsi="宋体" w:cs="Arial"/>
          <w:color w:val="auto"/>
          <w:szCs w:val="21"/>
          <w:highlight w:val="none"/>
        </w:rPr>
        <w:t>1.国内注册（指按国家有关规定要求注册的），经营范围包含本次招标采购服务，具备法人资格的供应商；</w:t>
      </w:r>
    </w:p>
    <w:p>
      <w:pPr>
        <w:spacing w:line="400" w:lineRule="exact"/>
        <w:ind w:firstLine="525" w:firstLineChars="250"/>
        <w:rPr>
          <w:rFonts w:ascii="宋体" w:hAnsi="宋体" w:cs="Arial"/>
          <w:color w:val="auto"/>
          <w:szCs w:val="21"/>
          <w:highlight w:val="none"/>
        </w:rPr>
      </w:pPr>
      <w:r>
        <w:rPr>
          <w:rFonts w:hint="eastAsia" w:ascii="宋体" w:hAnsi="宋体" w:cs="Arial"/>
          <w:color w:val="auto"/>
          <w:szCs w:val="21"/>
          <w:highlight w:val="none"/>
        </w:rPr>
        <w:t>2.本项目不接受联合体竞标。</w:t>
      </w:r>
    </w:p>
    <w:p>
      <w:pPr>
        <w:spacing w:line="400" w:lineRule="exact"/>
        <w:ind w:firstLine="495"/>
        <w:rPr>
          <w:rFonts w:ascii="宋体" w:hAnsi="宋体"/>
          <w:color w:val="auto"/>
          <w:szCs w:val="21"/>
          <w:highlight w:val="none"/>
        </w:rPr>
      </w:pPr>
      <w:r>
        <w:rPr>
          <w:rFonts w:hint="eastAsia" w:ascii="宋体" w:hAnsi="宋体"/>
          <w:b/>
          <w:color w:val="auto"/>
          <w:szCs w:val="21"/>
          <w:highlight w:val="none"/>
        </w:rPr>
        <w:t>五、竞标保证金</w:t>
      </w:r>
      <w:r>
        <w:rPr>
          <w:rFonts w:hint="eastAsia" w:ascii="宋体" w:hAnsi="宋体"/>
          <w:color w:val="auto"/>
          <w:szCs w:val="21"/>
          <w:highlight w:val="none"/>
        </w:rPr>
        <w:t>：无</w:t>
      </w:r>
    </w:p>
    <w:p>
      <w:pPr>
        <w:spacing w:line="400" w:lineRule="exact"/>
        <w:ind w:firstLine="422" w:firstLineChars="200"/>
        <w:rPr>
          <w:rFonts w:ascii="宋体" w:hAnsi="宋体"/>
          <w:color w:val="auto"/>
          <w:szCs w:val="21"/>
          <w:highlight w:val="none"/>
        </w:rPr>
      </w:pPr>
      <w:r>
        <w:rPr>
          <w:rFonts w:hint="eastAsia" w:ascii="宋体" w:hAnsi="宋体"/>
          <w:b/>
          <w:color w:val="auto"/>
          <w:szCs w:val="21"/>
          <w:highlight w:val="none"/>
        </w:rPr>
        <w:t>六、竞争性谈判文件获取的时间和地点</w:t>
      </w:r>
      <w:r>
        <w:rPr>
          <w:rFonts w:hint="eastAsia" w:ascii="宋体" w:hAnsi="宋体"/>
          <w:color w:val="auto"/>
          <w:szCs w:val="21"/>
          <w:highlight w:val="none"/>
        </w:rPr>
        <w:t>：</w:t>
      </w:r>
    </w:p>
    <w:p>
      <w:pPr>
        <w:spacing w:line="400" w:lineRule="exact"/>
        <w:ind w:firstLine="495"/>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bCs/>
          <w:color w:val="auto"/>
          <w:szCs w:val="21"/>
          <w:highlight w:val="none"/>
        </w:rPr>
        <w:t>竞争性谈判</w:t>
      </w:r>
      <w:r>
        <w:rPr>
          <w:rFonts w:hint="eastAsia" w:ascii="宋体" w:hAnsi="宋体"/>
          <w:color w:val="auto"/>
          <w:szCs w:val="21"/>
          <w:highlight w:val="none"/>
        </w:rPr>
        <w:t>文件获取时间：</w:t>
      </w:r>
      <w:r>
        <w:rPr>
          <w:rFonts w:hint="eastAsia" w:ascii="宋体" w:hAnsi="宋体"/>
          <w:color w:val="auto"/>
          <w:szCs w:val="21"/>
          <w:highlight w:val="none"/>
          <w:u w:val="single"/>
        </w:rPr>
        <w:t>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21</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08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30</w:t>
      </w:r>
      <w:r>
        <w:rPr>
          <w:rFonts w:hint="eastAsia" w:ascii="宋体" w:hAnsi="宋体"/>
          <w:color w:val="auto"/>
          <w:szCs w:val="21"/>
          <w:highlight w:val="none"/>
          <w:u w:val="single"/>
        </w:rPr>
        <w:t>分至2020年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23</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p>
    <w:p>
      <w:pPr>
        <w:spacing w:line="400" w:lineRule="exact"/>
        <w:ind w:firstLine="495"/>
        <w:rPr>
          <w:rFonts w:ascii="宋体" w:hAnsi="宋体"/>
          <w:color w:val="auto"/>
          <w:szCs w:val="21"/>
          <w:highlight w:val="none"/>
        </w:rPr>
      </w:pPr>
      <w:r>
        <w:rPr>
          <w:rFonts w:hint="eastAsia" w:ascii="宋体" w:hAnsi="宋体"/>
          <w:color w:val="auto"/>
          <w:szCs w:val="21"/>
          <w:highlight w:val="none"/>
        </w:rPr>
        <w:t>2.</w:t>
      </w:r>
      <w:r>
        <w:rPr>
          <w:rFonts w:hint="eastAsia" w:ascii="宋体" w:hAnsi="宋体"/>
          <w:bCs/>
          <w:color w:val="auto"/>
          <w:szCs w:val="21"/>
          <w:highlight w:val="none"/>
        </w:rPr>
        <w:t>竞争性谈判</w:t>
      </w:r>
      <w:r>
        <w:rPr>
          <w:rFonts w:hint="eastAsia" w:ascii="宋体" w:hAnsi="宋体"/>
          <w:color w:val="auto"/>
          <w:szCs w:val="21"/>
          <w:highlight w:val="none"/>
        </w:rPr>
        <w:t>文件获取地点：广西东博会场馆运营有限公司（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）或通过电子邮件发送。</w:t>
      </w:r>
    </w:p>
    <w:p>
      <w:pPr>
        <w:spacing w:line="400" w:lineRule="exact"/>
        <w:ind w:firstLine="495"/>
        <w:rPr>
          <w:rFonts w:ascii="宋体" w:hAnsi="宋体"/>
          <w:color w:val="auto"/>
          <w:szCs w:val="21"/>
          <w:highlight w:val="none"/>
        </w:rPr>
      </w:pPr>
      <w:r>
        <w:rPr>
          <w:rFonts w:hint="eastAsia" w:ascii="宋体" w:hAnsi="宋体"/>
          <w:b/>
          <w:color w:val="auto"/>
          <w:szCs w:val="21"/>
          <w:highlight w:val="none"/>
        </w:rPr>
        <w:t>七、响应文件递交时间和地点</w:t>
      </w:r>
      <w:r>
        <w:rPr>
          <w:rFonts w:hint="eastAsia" w:ascii="宋体" w:hAnsi="宋体"/>
          <w:color w:val="auto"/>
          <w:szCs w:val="21"/>
          <w:highlight w:val="none"/>
        </w:rPr>
        <w:t>：</w:t>
      </w:r>
    </w:p>
    <w:p>
      <w:pPr>
        <w:spacing w:line="400" w:lineRule="exact"/>
        <w:ind w:firstLine="495"/>
        <w:rPr>
          <w:rFonts w:ascii="宋体" w:hAnsi="宋体"/>
          <w:color w:val="auto"/>
          <w:szCs w:val="21"/>
          <w:highlight w:val="none"/>
        </w:rPr>
      </w:pPr>
      <w:r>
        <w:rPr>
          <w:rFonts w:hint="eastAsia" w:ascii="宋体" w:hAnsi="宋体"/>
          <w:color w:val="auto"/>
          <w:szCs w:val="21"/>
          <w:highlight w:val="none"/>
        </w:rPr>
        <w:t>1.响应文件接收时间：</w:t>
      </w:r>
      <w:r>
        <w:rPr>
          <w:rFonts w:hint="eastAsia" w:ascii="宋体" w:hAnsi="宋体"/>
          <w:color w:val="auto"/>
          <w:szCs w:val="21"/>
          <w:highlight w:val="none"/>
          <w:u w:val="single"/>
        </w:rPr>
        <w:t>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24</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u w:val="single"/>
          <w:lang w:eastAsia="zh-CN"/>
        </w:rPr>
        <w:t>前</w:t>
      </w:r>
      <w:r>
        <w:rPr>
          <w:rFonts w:hint="eastAsia" w:ascii="宋体" w:hAnsi="宋体"/>
          <w:color w:val="auto"/>
          <w:szCs w:val="21"/>
          <w:highlight w:val="none"/>
        </w:rPr>
        <w:t>。</w:t>
      </w:r>
    </w:p>
    <w:p>
      <w:pPr>
        <w:spacing w:line="400" w:lineRule="exact"/>
        <w:ind w:firstLine="495"/>
        <w:rPr>
          <w:rFonts w:ascii="宋体" w:hAnsi="宋体"/>
          <w:color w:val="auto"/>
          <w:szCs w:val="21"/>
          <w:highlight w:val="none"/>
        </w:rPr>
      </w:pPr>
      <w:r>
        <w:rPr>
          <w:rFonts w:hint="eastAsia" w:ascii="宋体" w:hAnsi="宋体"/>
          <w:color w:val="auto"/>
          <w:szCs w:val="21"/>
          <w:highlight w:val="none"/>
        </w:rPr>
        <w:t>2.响应文件递交地点：广西东博会场馆运营有限公司（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w:t>
      </w:r>
    </w:p>
    <w:p>
      <w:pPr>
        <w:spacing w:line="400" w:lineRule="exact"/>
        <w:ind w:firstLine="495"/>
        <w:rPr>
          <w:rFonts w:ascii="宋体" w:hAnsi="宋体"/>
          <w:color w:val="auto"/>
          <w:szCs w:val="21"/>
          <w:highlight w:val="none"/>
        </w:rPr>
      </w:pPr>
      <w:r>
        <w:rPr>
          <w:rFonts w:hint="eastAsia" w:ascii="宋体" w:hAnsi="宋体"/>
          <w:b/>
          <w:color w:val="auto"/>
          <w:szCs w:val="21"/>
          <w:highlight w:val="none"/>
        </w:rPr>
        <w:t>八、响应文件开启时间、谈判时间及地点</w:t>
      </w:r>
      <w:r>
        <w:rPr>
          <w:rFonts w:hint="eastAsia" w:ascii="宋体" w:hAnsi="宋体"/>
          <w:color w:val="auto"/>
          <w:szCs w:val="21"/>
          <w:highlight w:val="none"/>
        </w:rPr>
        <w:t>：</w:t>
      </w:r>
    </w:p>
    <w:p>
      <w:pPr>
        <w:spacing w:line="400" w:lineRule="exact"/>
        <w:ind w:firstLine="495"/>
        <w:rPr>
          <w:rFonts w:ascii="宋体" w:hAnsi="宋体"/>
          <w:color w:val="auto"/>
          <w:szCs w:val="21"/>
          <w:highlight w:val="none"/>
        </w:rPr>
      </w:pPr>
      <w:r>
        <w:rPr>
          <w:rFonts w:hint="eastAsia" w:ascii="宋体" w:hAnsi="宋体"/>
          <w:color w:val="auto"/>
          <w:szCs w:val="21"/>
          <w:highlight w:val="none"/>
          <w:u w:val="single"/>
        </w:rPr>
        <w:t>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24</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rPr>
        <w:t>后为开启响应文件及与供应商谈判时间，具体时间另行通知。地点：广西东博会场馆运营有限公司（</w:t>
      </w:r>
      <w:r>
        <w:rPr>
          <w:rFonts w:hint="eastAsia" w:ascii="宋体" w:hAnsi="宋体" w:cs="宋体"/>
          <w:color w:val="auto"/>
          <w:szCs w:val="21"/>
          <w:highlight w:val="none"/>
          <w:u w:val="single"/>
        </w:rPr>
        <w:t>南宁市民族大道延长线106号C区行政北楼221号办公室</w:t>
      </w:r>
      <w:r>
        <w:rPr>
          <w:rFonts w:hint="eastAsia" w:ascii="宋体" w:hAnsi="宋体"/>
          <w:color w:val="auto"/>
          <w:szCs w:val="21"/>
          <w:highlight w:val="none"/>
        </w:rPr>
        <w:t>），参加竞争性谈判的法定代表人或委托代理人必须持证件（法定代表人凭资格证书和身份证或委托代理人凭法人授权委托书原件和身份证）依时到达指定地点等候当面谈判。</w:t>
      </w:r>
    </w:p>
    <w:p>
      <w:pPr>
        <w:snapToGrid w:val="0"/>
        <w:spacing w:line="360" w:lineRule="exact"/>
        <w:ind w:firstLine="422" w:firstLineChars="200"/>
        <w:rPr>
          <w:rFonts w:ascii="宋体" w:hAnsi="宋体" w:cs="Arial"/>
          <w:b/>
          <w:color w:val="auto"/>
          <w:szCs w:val="21"/>
          <w:highlight w:val="none"/>
        </w:rPr>
      </w:pPr>
      <w:r>
        <w:rPr>
          <w:rFonts w:hint="eastAsia" w:ascii="宋体" w:hAnsi="宋体"/>
          <w:b/>
          <w:color w:val="auto"/>
          <w:szCs w:val="21"/>
          <w:highlight w:val="none"/>
        </w:rPr>
        <w:t>九、</w:t>
      </w:r>
      <w:r>
        <w:rPr>
          <w:rFonts w:hint="eastAsia" w:ascii="宋体" w:hAnsi="宋体" w:cs="Arial"/>
          <w:b/>
          <w:color w:val="auto"/>
          <w:szCs w:val="21"/>
          <w:highlight w:val="none"/>
        </w:rPr>
        <w:t>业务咨询：</w:t>
      </w:r>
    </w:p>
    <w:p>
      <w:pPr>
        <w:snapToGrid w:val="0"/>
        <w:spacing w:line="360" w:lineRule="exact"/>
        <w:ind w:firstLine="420" w:firstLineChars="200"/>
        <w:rPr>
          <w:rFonts w:ascii="宋体" w:hAnsi="宋体" w:cs="Arial"/>
          <w:color w:val="auto"/>
          <w:szCs w:val="21"/>
          <w:highlight w:val="none"/>
        </w:rPr>
      </w:pPr>
      <w:bookmarkStart w:id="4" w:name="_Toc29166_WPSOffice_Level2"/>
      <w:r>
        <w:rPr>
          <w:rFonts w:hint="eastAsia" w:ascii="宋体" w:hAnsi="宋体" w:cs="Arial"/>
          <w:color w:val="auto"/>
          <w:szCs w:val="21"/>
          <w:highlight w:val="none"/>
        </w:rPr>
        <w:t>1.广西东博会场馆运营有限公司</w:t>
      </w:r>
      <w:bookmarkEnd w:id="4"/>
    </w:p>
    <w:p>
      <w:pPr>
        <w:snapToGrid w:val="0"/>
        <w:spacing w:line="36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联系人：庞东牌   </w:t>
      </w:r>
      <w:r>
        <w:rPr>
          <w:rFonts w:hint="eastAsia" w:ascii="宋体" w:hAnsi="宋体"/>
          <w:color w:val="auto"/>
          <w:highlight w:val="none"/>
          <w:shd w:val="clear" w:color="auto" w:fill="FFFFFF"/>
        </w:rPr>
        <w:t xml:space="preserve"> 联系电话：13471157769 </w:t>
      </w:r>
    </w:p>
    <w:p>
      <w:pPr>
        <w:snapToGrid w:val="0"/>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地址：</w:t>
      </w:r>
      <w:r>
        <w:rPr>
          <w:rFonts w:hint="eastAsia" w:ascii="宋体" w:hAnsi="宋体" w:cs="宋体"/>
          <w:color w:val="auto"/>
          <w:szCs w:val="21"/>
          <w:highlight w:val="none"/>
          <w:u w:val="single"/>
        </w:rPr>
        <w:t>南宁市民族大道延长线106号C区行政北楼219号办公室</w:t>
      </w:r>
      <w:r>
        <w:rPr>
          <w:rFonts w:hint="eastAsia" w:ascii="宋体" w:hAnsi="宋体" w:cs="Arial"/>
          <w:color w:val="auto"/>
          <w:szCs w:val="21"/>
          <w:highlight w:val="none"/>
        </w:rPr>
        <w:t>/邮编：530000</w:t>
      </w:r>
    </w:p>
    <w:p>
      <w:pPr>
        <w:numPr>
          <w:ilvl w:val="0"/>
          <w:numId w:val="8"/>
        </w:numPr>
        <w:snapToGrid w:val="0"/>
        <w:spacing w:line="600" w:lineRule="exact"/>
        <w:ind w:firstLine="422" w:firstLineChars="200"/>
        <w:rPr>
          <w:rFonts w:hint="eastAsia" w:ascii="宋体" w:hAnsi="宋体" w:eastAsia="宋体" w:cs="宋体"/>
          <w:b/>
          <w:bCs/>
          <w:color w:val="auto"/>
          <w:sz w:val="21"/>
          <w:szCs w:val="21"/>
          <w:highlight w:val="none"/>
          <w:shd w:val="clear" w:color="auto" w:fill="FFFFFF"/>
          <w:lang w:eastAsia="zh-CN"/>
        </w:rPr>
      </w:pPr>
      <w:r>
        <w:rPr>
          <w:rFonts w:hint="eastAsia" w:ascii="宋体" w:hAnsi="宋体" w:eastAsia="宋体" w:cs="宋体"/>
          <w:b/>
          <w:bCs/>
          <w:color w:val="auto"/>
          <w:sz w:val="21"/>
          <w:szCs w:val="21"/>
          <w:highlight w:val="none"/>
          <w:shd w:val="clear" w:color="auto" w:fill="FFFFFF"/>
          <w:lang w:eastAsia="zh-CN"/>
        </w:rPr>
        <w:t>监督与投诉：</w:t>
      </w:r>
    </w:p>
    <w:p>
      <w:pPr>
        <w:numPr>
          <w:ilvl w:val="0"/>
          <w:numId w:val="0"/>
        </w:numPr>
        <w:snapToGrid w:val="0"/>
        <w:spacing w:line="600" w:lineRule="exact"/>
        <w:ind w:firstLine="420" w:firstLineChars="200"/>
        <w:rPr>
          <w:rFonts w:hint="eastAsia" w:ascii="宋体" w:hAnsi="宋体" w:eastAsia="宋体" w:cs="宋体"/>
          <w:b/>
          <w:bCs/>
          <w:color w:val="auto"/>
          <w:sz w:val="21"/>
          <w:szCs w:val="21"/>
          <w:highlight w:val="none"/>
          <w:shd w:val="clear" w:color="auto" w:fill="FFFFFF"/>
          <w:lang w:eastAsia="zh-CN"/>
        </w:rPr>
      </w:pPr>
      <w:r>
        <w:rPr>
          <w:rFonts w:hint="eastAsia" w:ascii="宋体" w:hAnsi="宋体" w:cs="Arial"/>
          <w:color w:val="auto"/>
          <w:szCs w:val="21"/>
          <w:highlight w:val="none"/>
          <w:lang w:val="en-US" w:eastAsia="zh-CN"/>
        </w:rPr>
        <w:t>1.</w:t>
      </w:r>
      <w:bookmarkStart w:id="89" w:name="_GoBack"/>
      <w:bookmarkEnd w:id="89"/>
      <w:r>
        <w:rPr>
          <w:rFonts w:hint="eastAsia" w:ascii="宋体" w:hAnsi="宋体" w:cs="Arial"/>
          <w:color w:val="auto"/>
          <w:szCs w:val="21"/>
          <w:highlight w:val="none"/>
        </w:rPr>
        <w:t>广西国际博览集团有限公司</w:t>
      </w:r>
      <w:r>
        <w:rPr>
          <w:rFonts w:hint="eastAsia" w:ascii="宋体" w:hAnsi="宋体" w:cs="Arial"/>
          <w:color w:val="auto"/>
          <w:szCs w:val="21"/>
          <w:highlight w:val="none"/>
          <w:lang w:eastAsia="zh-CN"/>
        </w:rPr>
        <w:t>经营管理部</w:t>
      </w:r>
    </w:p>
    <w:p>
      <w:pPr>
        <w:snapToGrid w:val="0"/>
        <w:spacing w:line="600" w:lineRule="exact"/>
        <w:ind w:firstLine="420" w:firstLineChars="200"/>
        <w:rPr>
          <w:rFonts w:hint="eastAsia" w:ascii="宋体" w:hAnsi="宋体" w:eastAsia="宋体" w:cs="宋体"/>
          <w:color w:val="auto"/>
          <w:sz w:val="21"/>
          <w:szCs w:val="21"/>
          <w:highlight w:val="none"/>
          <w:shd w:val="clear" w:color="auto" w:fill="FFFFFF"/>
          <w:lang w:val="en-US" w:eastAsia="zh-CN"/>
        </w:rPr>
      </w:pPr>
      <w:r>
        <w:rPr>
          <w:rFonts w:hint="eastAsia" w:ascii="宋体" w:hAnsi="宋体" w:eastAsia="宋体" w:cs="宋体"/>
          <w:color w:val="auto"/>
          <w:sz w:val="21"/>
          <w:szCs w:val="21"/>
          <w:highlight w:val="none"/>
        </w:rPr>
        <w:t xml:space="preserve">联系人：   </w:t>
      </w:r>
      <w:r>
        <w:rPr>
          <w:rFonts w:hint="eastAsia" w:ascii="宋体" w:hAnsi="宋体" w:eastAsia="宋体" w:cs="宋体"/>
          <w:color w:val="auto"/>
          <w:sz w:val="21"/>
          <w:szCs w:val="21"/>
          <w:highlight w:val="none"/>
          <w:lang w:eastAsia="zh-CN"/>
        </w:rPr>
        <w:t>顾明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shd w:val="clear" w:color="auto" w:fill="FFFFFF"/>
        </w:rPr>
        <w:t xml:space="preserve">   </w:t>
      </w:r>
      <w:r>
        <w:rPr>
          <w:rFonts w:hint="eastAsia" w:ascii="宋体" w:hAnsi="宋体" w:eastAsia="宋体" w:cs="宋体"/>
          <w:color w:val="auto"/>
          <w:sz w:val="21"/>
          <w:szCs w:val="21"/>
          <w:highlight w:val="none"/>
          <w:shd w:val="clear" w:color="auto" w:fill="FFFFFF"/>
          <w:lang w:val="en-US" w:eastAsia="zh-CN"/>
        </w:rPr>
        <w:t xml:space="preserve">  </w:t>
      </w:r>
      <w:r>
        <w:rPr>
          <w:rFonts w:hint="eastAsia" w:ascii="宋体" w:hAnsi="宋体" w:eastAsia="宋体" w:cs="宋体"/>
          <w:color w:val="auto"/>
          <w:sz w:val="21"/>
          <w:szCs w:val="21"/>
          <w:highlight w:val="none"/>
          <w:shd w:val="clear" w:color="auto" w:fill="FFFFFF"/>
        </w:rPr>
        <w:t xml:space="preserve"> 联系电话：</w:t>
      </w:r>
      <w:r>
        <w:rPr>
          <w:rFonts w:hint="eastAsia" w:ascii="宋体" w:hAnsi="宋体" w:eastAsia="宋体" w:cs="宋体"/>
          <w:color w:val="auto"/>
          <w:sz w:val="21"/>
          <w:szCs w:val="21"/>
          <w:highlight w:val="none"/>
          <w:shd w:val="clear" w:color="auto" w:fill="FFFFFF"/>
          <w:lang w:val="en-US" w:eastAsia="zh-CN"/>
        </w:rPr>
        <w:t>0771-2212614</w:t>
      </w:r>
    </w:p>
    <w:p>
      <w:pPr>
        <w:snapToGrid w:val="0"/>
        <w:spacing w:line="600" w:lineRule="exact"/>
        <w:ind w:firstLine="420" w:firstLineChars="200"/>
        <w:rPr>
          <w:rFonts w:hint="eastAsia" w:ascii="宋体" w:hAnsi="宋体" w:cs="Arial"/>
          <w:color w:val="auto"/>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南宁市</w:t>
      </w:r>
      <w:r>
        <w:rPr>
          <w:rFonts w:hint="eastAsia" w:ascii="宋体" w:hAnsi="宋体" w:eastAsia="宋体" w:cs="宋体"/>
          <w:color w:val="auto"/>
          <w:sz w:val="21"/>
          <w:szCs w:val="21"/>
          <w:highlight w:val="none"/>
          <w:u w:val="single"/>
          <w:lang w:eastAsia="zh-CN"/>
        </w:rPr>
        <w:t>会展路</w:t>
      </w:r>
      <w:r>
        <w:rPr>
          <w:rFonts w:hint="eastAsia" w:ascii="宋体" w:hAnsi="宋体" w:eastAsia="宋体" w:cs="宋体"/>
          <w:color w:val="auto"/>
          <w:sz w:val="21"/>
          <w:szCs w:val="21"/>
          <w:highlight w:val="none"/>
          <w:u w:val="single"/>
          <w:lang w:val="en-US" w:eastAsia="zh-CN"/>
        </w:rPr>
        <w:t>18号会展大厦12楼</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/邮编：530000</w:t>
      </w:r>
    </w:p>
    <w:p>
      <w:pPr>
        <w:snapToGrid w:val="0"/>
        <w:spacing w:line="360" w:lineRule="exact"/>
        <w:ind w:firstLine="422" w:firstLineChars="200"/>
        <w:rPr>
          <w:rFonts w:ascii="宋体" w:hAnsi="宋体" w:cs="Arial"/>
          <w:color w:val="auto"/>
          <w:szCs w:val="21"/>
          <w:highlight w:val="none"/>
          <w:u w:val="single"/>
        </w:rPr>
      </w:pPr>
      <w:r>
        <w:rPr>
          <w:rFonts w:hint="eastAsia" w:ascii="宋体" w:hAnsi="宋体"/>
          <w:b/>
          <w:color w:val="auto"/>
          <w:szCs w:val="21"/>
          <w:highlight w:val="none"/>
        </w:rPr>
        <w:t>十</w:t>
      </w:r>
      <w:r>
        <w:rPr>
          <w:rFonts w:hint="eastAsia" w:ascii="宋体" w:hAnsi="宋体"/>
          <w:b/>
          <w:color w:val="auto"/>
          <w:szCs w:val="21"/>
          <w:highlight w:val="none"/>
          <w:lang w:eastAsia="zh-CN"/>
        </w:rPr>
        <w:t>一</w:t>
      </w:r>
      <w:r>
        <w:rPr>
          <w:rFonts w:hint="eastAsia" w:ascii="宋体" w:hAnsi="宋体"/>
          <w:b/>
          <w:color w:val="auto"/>
          <w:szCs w:val="21"/>
          <w:highlight w:val="none"/>
        </w:rPr>
        <w:t>、网上公告媒体查询</w:t>
      </w:r>
      <w:r>
        <w:rPr>
          <w:rFonts w:hint="eastAsia" w:ascii="宋体" w:hAnsi="宋体"/>
          <w:color w:val="auto"/>
          <w:szCs w:val="21"/>
          <w:highlight w:val="none"/>
        </w:rPr>
        <w:t>：</w:t>
      </w:r>
    </w:p>
    <w:p>
      <w:pPr>
        <w:snapToGrid w:val="0"/>
        <w:spacing w:line="36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广西国际博览集团有限公司官方网站（http://www.gxexpogp.cn）</w:t>
      </w:r>
    </w:p>
    <w:p>
      <w:pPr>
        <w:snapToGrid w:val="0"/>
        <w:spacing w:line="360" w:lineRule="exact"/>
        <w:ind w:firstLine="420" w:firstLineChars="200"/>
        <w:rPr>
          <w:rFonts w:hint="eastAsia" w:ascii="宋体" w:hAnsi="宋体" w:cs="Arial"/>
          <w:color w:val="auto"/>
          <w:sz w:val="21"/>
          <w:szCs w:val="21"/>
          <w:highlight w:val="none"/>
        </w:rPr>
      </w:pPr>
      <w:r>
        <w:rPr>
          <w:rFonts w:hint="eastAsia" w:ascii="宋体" w:hAnsi="宋体" w:cs="宋体"/>
          <w:color w:val="auto"/>
          <w:sz w:val="21"/>
          <w:szCs w:val="21"/>
          <w:highlight w:val="none"/>
          <w:lang w:eastAsia="zh-CN"/>
        </w:rPr>
        <w:t>广西场馆运营有限公司官方网站（</w:t>
      </w:r>
      <w:r>
        <w:rPr>
          <w:rFonts w:ascii="宋体" w:hAnsi="宋体" w:eastAsia="宋体" w:cs="宋体"/>
          <w:color w:val="auto"/>
          <w:sz w:val="21"/>
          <w:szCs w:val="21"/>
          <w:highlight w:val="none"/>
        </w:rPr>
        <w:fldChar w:fldCharType="begin"/>
      </w:r>
      <w:r>
        <w:rPr>
          <w:rFonts w:ascii="宋体" w:hAnsi="宋体" w:eastAsia="宋体" w:cs="宋体"/>
          <w:color w:val="auto"/>
          <w:sz w:val="21"/>
          <w:szCs w:val="21"/>
          <w:highlight w:val="none"/>
        </w:rPr>
        <w:instrText xml:space="preserve"> HYPERLINK "http://www.nicec.cn/" </w:instrText>
      </w:r>
      <w:r>
        <w:rPr>
          <w:rFonts w:ascii="宋体" w:hAnsi="宋体" w:eastAsia="宋体" w:cs="宋体"/>
          <w:color w:val="auto"/>
          <w:sz w:val="21"/>
          <w:szCs w:val="21"/>
          <w:highlight w:val="none"/>
        </w:rPr>
        <w:fldChar w:fldCharType="separate"/>
      </w:r>
      <w:r>
        <w:rPr>
          <w:rStyle w:val="54"/>
          <w:rFonts w:ascii="宋体" w:hAnsi="宋体" w:eastAsia="宋体" w:cs="宋体"/>
          <w:color w:val="auto"/>
          <w:sz w:val="21"/>
          <w:szCs w:val="21"/>
          <w:highlight w:val="none"/>
        </w:rPr>
        <w:t>http://www.nicec.cn/</w:t>
      </w:r>
      <w:r>
        <w:rPr>
          <w:rFonts w:ascii="宋体" w:hAnsi="宋体" w:eastAsia="宋体" w:cs="宋体"/>
          <w:color w:val="auto"/>
          <w:sz w:val="21"/>
          <w:szCs w:val="21"/>
          <w:highlight w:val="none"/>
        </w:rPr>
        <w:fldChar w:fldCharType="end"/>
      </w:r>
      <w:r>
        <w:rPr>
          <w:rFonts w:hint="eastAsia" w:ascii="宋体" w:hAnsi="宋体" w:cs="宋体"/>
          <w:color w:val="auto"/>
          <w:sz w:val="21"/>
          <w:szCs w:val="21"/>
          <w:highlight w:val="none"/>
          <w:lang w:eastAsia="zh-CN"/>
        </w:rPr>
        <w:t>）</w:t>
      </w:r>
    </w:p>
    <w:p>
      <w:pPr>
        <w:snapToGrid w:val="0"/>
        <w:spacing w:line="400" w:lineRule="exact"/>
        <w:rPr>
          <w:rFonts w:ascii="宋体" w:hAnsi="宋体"/>
          <w:color w:val="auto"/>
          <w:szCs w:val="21"/>
          <w:highlight w:val="none"/>
        </w:rPr>
      </w:pPr>
    </w:p>
    <w:p>
      <w:pPr>
        <w:snapToGrid w:val="0"/>
        <w:spacing w:line="400" w:lineRule="exact"/>
        <w:ind w:left="238"/>
        <w:jc w:val="right"/>
        <w:rPr>
          <w:rFonts w:ascii="宋体" w:hAnsi="宋体" w:cs="Arial"/>
          <w:color w:val="auto"/>
          <w:szCs w:val="21"/>
          <w:highlight w:val="none"/>
        </w:rPr>
      </w:pPr>
      <w:r>
        <w:rPr>
          <w:rFonts w:hint="eastAsia" w:ascii="宋体" w:hAnsi="宋体"/>
          <w:color w:val="auto"/>
          <w:szCs w:val="21"/>
          <w:highlight w:val="none"/>
        </w:rPr>
        <w:t xml:space="preserve">                                     广西东博会场馆运营有限公司</w:t>
      </w:r>
    </w:p>
    <w:p>
      <w:pPr>
        <w:snapToGrid w:val="0"/>
        <w:spacing w:line="400" w:lineRule="exact"/>
        <w:ind w:left="238"/>
        <w:jc w:val="right"/>
        <w:rPr>
          <w:rFonts w:ascii="宋体" w:hAnsi="宋体"/>
          <w:color w:val="auto"/>
          <w:szCs w:val="21"/>
          <w:highlight w:val="none"/>
          <w:u w:val="single"/>
        </w:rPr>
      </w:pPr>
      <w:r>
        <w:rPr>
          <w:rFonts w:hint="eastAsia" w:ascii="宋体" w:hAnsi="宋体"/>
          <w:color w:val="auto"/>
          <w:szCs w:val="21"/>
          <w:highlight w:val="none"/>
          <w:u w:val="single"/>
        </w:rPr>
        <w:t>2020年4月</w:t>
      </w:r>
      <w:r>
        <w:rPr>
          <w:rFonts w:hint="eastAsia" w:ascii="宋体" w:hAnsi="宋体"/>
          <w:color w:val="auto"/>
          <w:szCs w:val="21"/>
          <w:highlight w:val="none"/>
          <w:u w:val="single"/>
          <w:lang w:val="en-US" w:eastAsia="zh-CN"/>
        </w:rPr>
        <w:t>20</w:t>
      </w:r>
      <w:r>
        <w:rPr>
          <w:rFonts w:hint="eastAsia" w:ascii="宋体" w:hAnsi="宋体"/>
          <w:color w:val="auto"/>
          <w:szCs w:val="21"/>
          <w:highlight w:val="none"/>
          <w:u w:val="single"/>
        </w:rPr>
        <w:t>日</w:t>
      </w:r>
    </w:p>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pStyle w:val="3"/>
        <w:jc w:val="center"/>
        <w:rPr>
          <w:color w:val="auto"/>
          <w:highlight w:val="none"/>
        </w:rPr>
      </w:pPr>
      <w:bookmarkStart w:id="5" w:name="_Toc29166_WPSOffice_Level1"/>
      <w:bookmarkStart w:id="6" w:name="_Toc393040185"/>
      <w:bookmarkStart w:id="7" w:name="_Toc2310"/>
      <w:r>
        <w:rPr>
          <w:rFonts w:hint="eastAsia"/>
          <w:color w:val="auto"/>
          <w:highlight w:val="none"/>
        </w:rPr>
        <w:t>第二章供应商须知</w:t>
      </w:r>
      <w:bookmarkEnd w:id="5"/>
      <w:bookmarkEnd w:id="6"/>
      <w:bookmarkEnd w:id="7"/>
    </w:p>
    <w:p>
      <w:pPr>
        <w:spacing w:line="400" w:lineRule="exact"/>
        <w:jc w:val="center"/>
        <w:rPr>
          <w:rFonts w:ascii="宋体" w:hAnsi="宋体"/>
          <w:b/>
          <w:color w:val="auto"/>
          <w:sz w:val="32"/>
          <w:szCs w:val="32"/>
          <w:highlight w:val="none"/>
        </w:rPr>
      </w:pPr>
      <w:bookmarkStart w:id="8" w:name="_Toc22179_WPSOffice_Level2"/>
      <w:r>
        <w:rPr>
          <w:rFonts w:hint="eastAsia" w:ascii="宋体" w:hAnsi="宋体"/>
          <w:b/>
          <w:color w:val="auto"/>
          <w:sz w:val="32"/>
          <w:szCs w:val="32"/>
          <w:highlight w:val="none"/>
        </w:rPr>
        <w:t>供应商须知前附表</w:t>
      </w:r>
      <w:bookmarkEnd w:id="8"/>
    </w:p>
    <w:p>
      <w:pPr>
        <w:spacing w:line="400" w:lineRule="exact"/>
        <w:jc w:val="center"/>
        <w:rPr>
          <w:rFonts w:ascii="宋体" w:hAnsi="宋体"/>
          <w:b/>
          <w:color w:val="auto"/>
          <w:sz w:val="32"/>
          <w:szCs w:val="32"/>
          <w:highlight w:val="none"/>
        </w:rPr>
      </w:pPr>
    </w:p>
    <w:tbl>
      <w:tblPr>
        <w:tblStyle w:val="49"/>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93"/>
        <w:gridCol w:w="6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993"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6854" w:type="dxa"/>
          </w:tcPr>
          <w:p>
            <w:pPr>
              <w:spacing w:line="340" w:lineRule="exact"/>
              <w:jc w:val="center"/>
              <w:rPr>
                <w:rFonts w:ascii="宋体" w:hAnsi="宋体"/>
                <w:b/>
                <w:color w:val="auto"/>
                <w:szCs w:val="21"/>
                <w:highlight w:val="none"/>
              </w:rPr>
            </w:pPr>
            <w:r>
              <w:rPr>
                <w:rFonts w:hint="eastAsia" w:ascii="宋体" w:hAnsi="宋体"/>
                <w:b/>
                <w:color w:val="auto"/>
                <w:szCs w:val="21"/>
                <w:highlight w:val="none"/>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6854" w:type="dxa"/>
            <w:vAlign w:val="center"/>
          </w:tcPr>
          <w:p>
            <w:pPr>
              <w:spacing w:line="340" w:lineRule="exact"/>
              <w:rPr>
                <w:rFonts w:ascii="宋体" w:hAnsi="宋体"/>
                <w:color w:val="auto"/>
                <w:szCs w:val="21"/>
                <w:highlight w:val="none"/>
                <w:u w:val="single"/>
              </w:rPr>
            </w:pPr>
            <w:r>
              <w:rPr>
                <w:rFonts w:hint="eastAsia" w:ascii="宋体" w:hAnsi="宋体"/>
                <w:color w:val="auto"/>
                <w:szCs w:val="21"/>
                <w:highlight w:val="none"/>
              </w:rPr>
              <w:t>项目名称：南宁国际会展中心除“四害”综合治理服务采购</w:t>
            </w:r>
          </w:p>
          <w:p>
            <w:pPr>
              <w:spacing w:line="340" w:lineRule="exact"/>
              <w:rPr>
                <w:rFonts w:ascii="宋体" w:hAnsi="宋体"/>
                <w:color w:val="auto"/>
                <w:szCs w:val="21"/>
                <w:highlight w:val="none"/>
                <w:u w:val="single"/>
              </w:rPr>
            </w:pPr>
            <w:r>
              <w:rPr>
                <w:rFonts w:hint="eastAsia" w:ascii="宋体" w:hAnsi="宋体"/>
                <w:color w:val="auto"/>
                <w:szCs w:val="21"/>
                <w:highlight w:val="none"/>
              </w:rPr>
              <w:t>项目编号：</w:t>
            </w:r>
            <w:r>
              <w:rPr>
                <w:rFonts w:hint="eastAsia" w:ascii="宋体" w:hAnsi="宋体" w:cs="宋体"/>
                <w:b w:val="0"/>
                <w:bCs w:val="0"/>
                <w:color w:val="auto"/>
                <w:sz w:val="21"/>
                <w:szCs w:val="21"/>
                <w:highlight w:val="none"/>
                <w:shd w:val="clear" w:color="auto" w:fill="FFFFFF"/>
              </w:rPr>
              <w:t>GIEG2020HZ-0041</w:t>
            </w:r>
          </w:p>
          <w:p>
            <w:pPr>
              <w:spacing w:line="340" w:lineRule="exact"/>
              <w:rPr>
                <w:rFonts w:ascii="宋体" w:hAnsi="宋体"/>
                <w:color w:val="auto"/>
                <w:szCs w:val="21"/>
                <w:highlight w:val="none"/>
                <w:u w:val="single"/>
              </w:rPr>
            </w:pPr>
            <w:r>
              <w:rPr>
                <w:rFonts w:hint="eastAsia" w:ascii="宋体" w:hAnsi="宋体"/>
                <w:color w:val="auto"/>
                <w:szCs w:val="21"/>
                <w:highlight w:val="none"/>
              </w:rPr>
              <w:t>项目预算：</w:t>
            </w:r>
            <w:r>
              <w:rPr>
                <w:rFonts w:hint="eastAsia" w:ascii="宋体" w:hAnsi="宋体"/>
                <w:color w:val="auto"/>
                <w:szCs w:val="21"/>
                <w:highlight w:val="none"/>
                <w:u w:val="single"/>
              </w:rPr>
              <w:t>8万元整</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2</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3</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供应商的基本条件：</w:t>
            </w:r>
          </w:p>
          <w:p>
            <w:pPr>
              <w:spacing w:line="340" w:lineRule="exact"/>
              <w:rPr>
                <w:rFonts w:ascii="宋体" w:hAnsi="宋体"/>
                <w:color w:val="auto"/>
                <w:szCs w:val="21"/>
                <w:highlight w:val="none"/>
              </w:rPr>
            </w:pPr>
            <w:r>
              <w:rPr>
                <w:rFonts w:hint="eastAsia" w:ascii="宋体" w:hAnsi="宋体"/>
                <w:color w:val="auto"/>
                <w:szCs w:val="21"/>
                <w:highlight w:val="none"/>
              </w:rPr>
              <w:t>1.国内注册（指按国家有关规定要求注册的），经营范围包含本次竞争性谈判采购服务，具备法人资格的供应商；</w:t>
            </w:r>
          </w:p>
          <w:p>
            <w:pPr>
              <w:spacing w:line="340" w:lineRule="exact"/>
              <w:rPr>
                <w:rFonts w:ascii="宋体" w:hAnsi="宋体"/>
                <w:color w:val="auto"/>
                <w:szCs w:val="21"/>
                <w:highlight w:val="none"/>
              </w:rPr>
            </w:pPr>
            <w:r>
              <w:rPr>
                <w:rFonts w:hint="eastAsia" w:ascii="宋体" w:hAnsi="宋体"/>
                <w:color w:val="auto"/>
                <w:szCs w:val="21"/>
                <w:highlight w:val="none"/>
              </w:rPr>
              <w:t>2.本项目不接受联合体竞标。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3</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4.2</w:t>
            </w:r>
          </w:p>
        </w:tc>
        <w:tc>
          <w:tcPr>
            <w:tcW w:w="6854" w:type="dxa"/>
            <w:vAlign w:val="center"/>
          </w:tcPr>
          <w:p>
            <w:pPr>
              <w:spacing w:line="340" w:lineRule="exact"/>
              <w:rPr>
                <w:rFonts w:ascii="宋体" w:hAnsi="宋体"/>
                <w:color w:val="auto"/>
                <w:szCs w:val="21"/>
                <w:highlight w:val="none"/>
              </w:rPr>
            </w:pPr>
            <w:r>
              <w:rPr>
                <w:rFonts w:hint="eastAsia" w:ascii="宋体" w:hAnsi="宋体"/>
                <w:b/>
                <w:color w:val="auto"/>
                <w:szCs w:val="21"/>
                <w:highlight w:val="none"/>
              </w:rPr>
              <w:t>成交服务费：0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4</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9.1</w:t>
            </w:r>
          </w:p>
        </w:tc>
        <w:tc>
          <w:tcPr>
            <w:tcW w:w="6854" w:type="dxa"/>
            <w:vAlign w:val="center"/>
          </w:tcPr>
          <w:p>
            <w:pPr>
              <w:tabs>
                <w:tab w:val="left" w:pos="525"/>
              </w:tabs>
              <w:snapToGrid w:val="0"/>
              <w:spacing w:line="340" w:lineRule="exact"/>
              <w:jc w:val="left"/>
              <w:rPr>
                <w:rFonts w:ascii="宋体" w:hAnsi="宋体"/>
                <w:color w:val="auto"/>
                <w:szCs w:val="21"/>
                <w:highlight w:val="none"/>
              </w:rPr>
            </w:pPr>
            <w:r>
              <w:rPr>
                <w:rFonts w:hint="eastAsia" w:ascii="宋体" w:hAnsi="宋体"/>
                <w:color w:val="auto"/>
                <w:szCs w:val="21"/>
                <w:highlight w:val="none"/>
              </w:rPr>
              <w:t>竞标报价：供应商必须就所投项目的全部内容作完整唯一报价，漏项报价的或有选择的或有条件的报价，其竞标将视为无效。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5</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10.1</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响应文件份数：正本一份、副本两份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6</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7</w:t>
            </w: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竞标有效期：自竞标截止之日起至采购合同签订之日止。</w:t>
            </w:r>
          </w:p>
          <w:p>
            <w:pPr>
              <w:pStyle w:val="14"/>
              <w:widowControl w:val="0"/>
              <w:tabs>
                <w:tab w:val="clear" w:pos="454"/>
              </w:tabs>
              <w:snapToGrid w:val="0"/>
              <w:spacing w:afterLines="0" w:line="340" w:lineRule="exact"/>
              <w:ind w:left="0" w:firstLine="0"/>
              <w:rPr>
                <w:rFonts w:ascii="宋体" w:hAnsi="宋体"/>
                <w:color w:val="auto"/>
                <w:sz w:val="21"/>
                <w:szCs w:val="21"/>
                <w:highlight w:val="none"/>
              </w:rPr>
            </w:pPr>
            <w:bookmarkStart w:id="9" w:name="_Toc254970540"/>
            <w:bookmarkStart w:id="10" w:name="_Toc254970681"/>
            <w:r>
              <w:rPr>
                <w:rFonts w:hint="eastAsia" w:ascii="宋体" w:hAnsi="宋体"/>
                <w:color w:val="auto"/>
                <w:sz w:val="21"/>
                <w:szCs w:val="21"/>
                <w:highlight w:val="none"/>
              </w:rPr>
              <w:t>1.未成交的响应文件竞标有效期内均应保持有效。</w:t>
            </w:r>
            <w:bookmarkEnd w:id="9"/>
            <w:bookmarkEnd w:id="10"/>
          </w:p>
          <w:p>
            <w:pPr>
              <w:pStyle w:val="14"/>
              <w:widowControl w:val="0"/>
              <w:tabs>
                <w:tab w:val="clear" w:pos="454"/>
              </w:tabs>
              <w:snapToGrid w:val="0"/>
              <w:spacing w:afterLines="0" w:line="340" w:lineRule="exact"/>
              <w:ind w:left="0" w:firstLine="0"/>
              <w:rPr>
                <w:rFonts w:ascii="宋体" w:hAnsi="宋体"/>
                <w:color w:val="auto"/>
                <w:sz w:val="21"/>
                <w:szCs w:val="21"/>
                <w:highlight w:val="none"/>
              </w:rPr>
            </w:pPr>
            <w:r>
              <w:rPr>
                <w:rFonts w:hint="eastAsia" w:ascii="宋体" w:hAnsi="宋体"/>
                <w:color w:val="auto"/>
                <w:sz w:val="21"/>
                <w:szCs w:val="21"/>
                <w:highlight w:val="none"/>
              </w:rPr>
              <w:t>2.成交供应商的响应文件自开标之日起至合同履行完毕止均应保持有效。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7</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8</w:t>
            </w:r>
          </w:p>
        </w:tc>
        <w:tc>
          <w:tcPr>
            <w:tcW w:w="6854" w:type="dxa"/>
            <w:vAlign w:val="center"/>
          </w:tcPr>
          <w:p>
            <w:pPr>
              <w:snapToGrid w:val="0"/>
              <w:spacing w:line="340" w:lineRule="exact"/>
              <w:rPr>
                <w:rFonts w:ascii="宋体" w:hAnsi="宋体"/>
                <w:color w:val="auto"/>
                <w:szCs w:val="21"/>
                <w:highlight w:val="none"/>
              </w:rPr>
            </w:pPr>
            <w:r>
              <w:rPr>
                <w:rFonts w:hint="eastAsia" w:ascii="宋体" w:hAnsi="宋体"/>
                <w:color w:val="auto"/>
                <w:szCs w:val="21"/>
                <w:highlight w:val="none"/>
              </w:rPr>
              <w:t>竞标保证金金额：0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8</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6854" w:type="dxa"/>
            <w:vAlign w:val="center"/>
          </w:tcPr>
          <w:p>
            <w:pPr>
              <w:spacing w:line="340" w:lineRule="exact"/>
              <w:rPr>
                <w:rFonts w:hint="eastAsia" w:ascii="宋体" w:hAnsi="宋体" w:eastAsia="宋体"/>
                <w:color w:val="auto"/>
                <w:szCs w:val="21"/>
                <w:highlight w:val="none"/>
                <w:lang w:eastAsia="zh-CN"/>
              </w:rPr>
            </w:pPr>
            <w:r>
              <w:rPr>
                <w:rFonts w:hint="eastAsia" w:ascii="宋体" w:hAnsi="宋体"/>
                <w:color w:val="auto"/>
                <w:szCs w:val="21"/>
                <w:highlight w:val="none"/>
              </w:rPr>
              <w:t>响应文件接收时间：</w:t>
            </w:r>
            <w:r>
              <w:rPr>
                <w:rFonts w:hint="eastAsia" w:ascii="宋体" w:hAnsi="宋体"/>
                <w:color w:val="auto"/>
                <w:szCs w:val="21"/>
                <w:highlight w:val="none"/>
                <w:u w:val="single"/>
              </w:rPr>
              <w:t>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24</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w:t>
            </w:r>
            <w:r>
              <w:rPr>
                <w:rFonts w:hint="eastAsia" w:ascii="宋体" w:hAnsi="宋体"/>
                <w:color w:val="auto"/>
                <w:szCs w:val="21"/>
                <w:highlight w:val="none"/>
                <w:u w:val="single"/>
                <w:lang w:eastAsia="zh-CN"/>
              </w:rPr>
              <w:t>前</w:t>
            </w:r>
          </w:p>
          <w:p>
            <w:pPr>
              <w:spacing w:line="340" w:lineRule="exact"/>
              <w:rPr>
                <w:rFonts w:ascii="宋体" w:hAnsi="宋体"/>
                <w:color w:val="auto"/>
                <w:szCs w:val="21"/>
                <w:highlight w:val="none"/>
              </w:rPr>
            </w:pPr>
            <w:r>
              <w:rPr>
                <w:rFonts w:hint="eastAsia" w:ascii="宋体" w:hAnsi="宋体"/>
                <w:color w:val="auto"/>
                <w:szCs w:val="21"/>
                <w:highlight w:val="none"/>
              </w:rPr>
              <w:t>地址：广西东博会场馆运营有限公司（</w:t>
            </w:r>
            <w:r>
              <w:rPr>
                <w:rFonts w:hint="eastAsia" w:ascii="宋体" w:hAnsi="宋体" w:cs="宋体"/>
                <w:color w:val="auto"/>
                <w:szCs w:val="21"/>
                <w:highlight w:val="none"/>
                <w:u w:val="single"/>
              </w:rPr>
              <w:t>南宁市民族大道延长线106号C区行政北楼219号办公室</w:t>
            </w:r>
            <w:r>
              <w:rPr>
                <w:rFonts w:hint="eastAsia" w:ascii="宋体" w:hAnsi="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9</w:t>
            </w:r>
          </w:p>
        </w:tc>
        <w:tc>
          <w:tcPr>
            <w:tcW w:w="993" w:type="dxa"/>
            <w:vAlign w:val="center"/>
          </w:tcPr>
          <w:p>
            <w:pPr>
              <w:spacing w:line="340" w:lineRule="exact"/>
              <w:jc w:val="center"/>
              <w:rPr>
                <w:rFonts w:ascii="宋体" w:hAnsi="宋体"/>
                <w:color w:val="auto"/>
                <w:szCs w:val="21"/>
                <w:highlight w:val="none"/>
              </w:rPr>
            </w:pPr>
          </w:p>
        </w:tc>
        <w:tc>
          <w:tcPr>
            <w:tcW w:w="6854" w:type="dxa"/>
            <w:vAlign w:val="center"/>
          </w:tcPr>
          <w:p>
            <w:pPr>
              <w:spacing w:line="340" w:lineRule="exact"/>
              <w:rPr>
                <w:rFonts w:ascii="宋体" w:hAnsi="宋体"/>
                <w:color w:val="auto"/>
                <w:szCs w:val="21"/>
                <w:highlight w:val="none"/>
              </w:rPr>
            </w:pPr>
            <w:r>
              <w:rPr>
                <w:rFonts w:hint="eastAsia" w:ascii="宋体" w:hAnsi="宋体"/>
                <w:color w:val="auto"/>
                <w:szCs w:val="21"/>
                <w:highlight w:val="none"/>
              </w:rPr>
              <w:t>谈判时间：</w:t>
            </w:r>
            <w:r>
              <w:rPr>
                <w:rFonts w:hint="eastAsia" w:ascii="宋体" w:hAnsi="宋体"/>
                <w:color w:val="auto"/>
                <w:szCs w:val="21"/>
                <w:highlight w:val="none"/>
                <w:u w:val="single"/>
              </w:rPr>
              <w:t>2020年</w:t>
            </w:r>
            <w:r>
              <w:rPr>
                <w:rFonts w:hint="eastAsia" w:ascii="宋体" w:hAnsi="宋体"/>
                <w:color w:val="auto"/>
                <w:szCs w:val="21"/>
                <w:highlight w:val="none"/>
                <w:u w:val="single"/>
                <w:lang w:val="en-US" w:eastAsia="zh-CN"/>
              </w:rPr>
              <w:t>4</w:t>
            </w:r>
            <w:r>
              <w:rPr>
                <w:rFonts w:hint="eastAsia" w:ascii="宋体" w:hAnsi="宋体"/>
                <w:color w:val="auto"/>
                <w:szCs w:val="21"/>
                <w:highlight w:val="none"/>
                <w:u w:val="single"/>
              </w:rPr>
              <w:t>月</w:t>
            </w:r>
            <w:r>
              <w:rPr>
                <w:rFonts w:hint="eastAsia" w:ascii="宋体" w:hAnsi="宋体"/>
                <w:color w:val="auto"/>
                <w:szCs w:val="21"/>
                <w:highlight w:val="none"/>
                <w:u w:val="single"/>
                <w:lang w:val="en-US" w:eastAsia="zh-CN"/>
              </w:rPr>
              <w:t>24</w:t>
            </w:r>
            <w:r>
              <w:rPr>
                <w:rFonts w:hint="eastAsia" w:ascii="宋体" w:hAnsi="宋体"/>
                <w:color w:val="auto"/>
                <w:szCs w:val="21"/>
                <w:highlight w:val="none"/>
                <w:u w:val="single"/>
              </w:rPr>
              <w:t>日</w:t>
            </w:r>
            <w:r>
              <w:rPr>
                <w:rFonts w:hint="eastAsia" w:ascii="宋体" w:hAnsi="宋体"/>
                <w:color w:val="auto"/>
                <w:szCs w:val="21"/>
                <w:highlight w:val="none"/>
                <w:u w:val="single"/>
                <w:lang w:val="en-US" w:eastAsia="zh-CN"/>
              </w:rPr>
              <w:t>15</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分至</w:t>
            </w:r>
            <w:r>
              <w:rPr>
                <w:rFonts w:hint="eastAsia" w:ascii="宋体" w:hAnsi="宋体"/>
                <w:color w:val="auto"/>
                <w:szCs w:val="21"/>
                <w:highlight w:val="none"/>
                <w:u w:val="single"/>
                <w:lang w:val="en-US" w:eastAsia="zh-CN"/>
              </w:rPr>
              <w:t>18</w:t>
            </w:r>
            <w:r>
              <w:rPr>
                <w:rFonts w:hint="eastAsia" w:ascii="宋体" w:hAnsi="宋体"/>
                <w:color w:val="auto"/>
                <w:szCs w:val="21"/>
                <w:highlight w:val="none"/>
                <w:u w:val="singl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u w:val="single"/>
              </w:rPr>
              <w:t>分截标后</w:t>
            </w:r>
            <w:r>
              <w:rPr>
                <w:rFonts w:hint="eastAsia" w:ascii="宋体" w:hAnsi="宋体"/>
                <w:color w:val="auto"/>
                <w:szCs w:val="21"/>
                <w:highlight w:val="none"/>
              </w:rPr>
              <w:t>（具体时间另行通知）</w:t>
            </w:r>
          </w:p>
          <w:p>
            <w:pPr>
              <w:spacing w:line="340" w:lineRule="exact"/>
              <w:rPr>
                <w:rFonts w:ascii="宋体" w:hAnsi="宋体"/>
                <w:color w:val="auto"/>
                <w:szCs w:val="21"/>
                <w:highlight w:val="none"/>
              </w:rPr>
            </w:pPr>
            <w:r>
              <w:rPr>
                <w:rFonts w:hint="eastAsia" w:ascii="宋体" w:hAnsi="宋体"/>
                <w:color w:val="auto"/>
                <w:szCs w:val="21"/>
                <w:highlight w:val="none"/>
              </w:rPr>
              <w:t>谈判地点：</w:t>
            </w:r>
            <w:r>
              <w:rPr>
                <w:rFonts w:hint="eastAsia" w:ascii="宋体" w:hAnsi="宋体"/>
                <w:color w:val="auto"/>
                <w:szCs w:val="21"/>
                <w:highlight w:val="none"/>
                <w:u w:val="single"/>
              </w:rPr>
              <w:t>广西东博会场馆运营有限公司（南宁市</w:t>
            </w:r>
            <w:r>
              <w:rPr>
                <w:rFonts w:hint="eastAsia" w:ascii="宋体" w:hAnsi="宋体" w:cs="宋体"/>
                <w:color w:val="auto"/>
                <w:szCs w:val="21"/>
                <w:highlight w:val="none"/>
                <w:u w:val="single"/>
              </w:rPr>
              <w:t>民族大道延长线106号C区行政北楼221号办公室</w:t>
            </w:r>
            <w:r>
              <w:rPr>
                <w:rFonts w:hint="eastAsia" w:ascii="宋体" w:hAnsi="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10</w:t>
            </w:r>
          </w:p>
        </w:tc>
        <w:tc>
          <w:tcPr>
            <w:tcW w:w="993"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15.1</w:t>
            </w:r>
          </w:p>
        </w:tc>
        <w:tc>
          <w:tcPr>
            <w:tcW w:w="6854" w:type="dxa"/>
            <w:vAlign w:val="center"/>
          </w:tcPr>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履约保证金金额：</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成交人（乙方）在签订本项目合同前，须向招标采购单位（甲方）缴纳中标</w:t>
            </w:r>
            <w:r>
              <w:rPr>
                <w:rFonts w:hint="eastAsia" w:ascii="宋体" w:hAnsi="宋体"/>
                <w:color w:val="auto"/>
                <w:szCs w:val="21"/>
                <w:highlight w:val="none"/>
                <w:u w:val="single"/>
              </w:rPr>
              <w:t xml:space="preserve">金额5% </w:t>
            </w:r>
            <w:r>
              <w:rPr>
                <w:rFonts w:hint="eastAsia" w:ascii="宋体" w:hAnsi="宋体"/>
                <w:color w:val="auto"/>
                <w:szCs w:val="21"/>
                <w:highlight w:val="none"/>
              </w:rPr>
              <w:t>的履约保证金，以保证服务期间正常运行，如乙方违反相关法律法规，不履行所订立的合同，甲方有权取消乙方中标资格，服务协议自动终止。履约保证金不予返还，所造成的损失超过履约保证金数额的，还应对超出部分予以赔偿。服务期满后，如乙方无任何违约违法行为的，甲方应在10个工作日内退还履约保证金（不计息）.</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履约保证金交到采购人账户：</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开户名：广西东博会场馆运营有限公司</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开户行：中国建设银行股份有限公司南宁金湖广场支行</w:t>
            </w:r>
          </w:p>
          <w:p>
            <w:pPr>
              <w:autoSpaceDE w:val="0"/>
              <w:autoSpaceDN w:val="0"/>
              <w:snapToGrid w:val="0"/>
              <w:spacing w:line="340" w:lineRule="exact"/>
              <w:textAlignment w:val="bottom"/>
              <w:rPr>
                <w:rFonts w:ascii="宋体" w:hAnsi="宋体"/>
                <w:color w:val="auto"/>
                <w:szCs w:val="21"/>
                <w:highlight w:val="none"/>
              </w:rPr>
            </w:pPr>
            <w:r>
              <w:rPr>
                <w:rFonts w:hint="eastAsia" w:ascii="宋体" w:hAnsi="宋体"/>
                <w:color w:val="auto"/>
                <w:szCs w:val="21"/>
                <w:highlight w:val="none"/>
              </w:rPr>
              <w:t>账  号：45050160426600000896</w:t>
            </w:r>
          </w:p>
          <w:p>
            <w:pPr>
              <w:autoSpaceDE w:val="0"/>
              <w:autoSpaceDN w:val="0"/>
              <w:snapToGrid w:val="0"/>
              <w:spacing w:line="340" w:lineRule="exact"/>
              <w:textAlignment w:val="bottom"/>
              <w:rPr>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vAlign w:val="center"/>
          </w:tcPr>
          <w:p>
            <w:pPr>
              <w:spacing w:line="340" w:lineRule="exact"/>
              <w:jc w:val="center"/>
              <w:rPr>
                <w:rFonts w:ascii="宋体" w:hAnsi="宋体"/>
                <w:color w:val="auto"/>
                <w:szCs w:val="21"/>
                <w:highlight w:val="none"/>
              </w:rPr>
            </w:pPr>
            <w:r>
              <w:rPr>
                <w:rFonts w:hint="eastAsia" w:ascii="宋体" w:hAnsi="宋体"/>
                <w:color w:val="auto"/>
                <w:szCs w:val="21"/>
                <w:highlight w:val="none"/>
              </w:rPr>
              <w:t>11</w:t>
            </w:r>
          </w:p>
        </w:tc>
        <w:tc>
          <w:tcPr>
            <w:tcW w:w="993" w:type="dxa"/>
            <w:vAlign w:val="center"/>
          </w:tcPr>
          <w:p>
            <w:pPr>
              <w:spacing w:line="340" w:lineRule="exact"/>
              <w:jc w:val="center"/>
              <w:rPr>
                <w:rFonts w:ascii="宋体" w:hAnsi="宋体"/>
                <w:color w:val="auto"/>
                <w:szCs w:val="21"/>
                <w:highlight w:val="none"/>
              </w:rPr>
            </w:pPr>
          </w:p>
        </w:tc>
        <w:tc>
          <w:tcPr>
            <w:tcW w:w="6854" w:type="dxa"/>
            <w:vAlign w:val="center"/>
          </w:tcPr>
          <w:p>
            <w:pPr>
              <w:spacing w:line="340" w:lineRule="exac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特别要求：</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1.本谈判采购文件中描述供应商的“公章”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spacing w:line="340" w:lineRule="exact"/>
              <w:rPr>
                <w:rFonts w:ascii="宋体" w:hAnsi="宋体" w:cs="宋体"/>
                <w:color w:val="auto"/>
                <w:szCs w:val="21"/>
                <w:highlight w:val="none"/>
              </w:rPr>
            </w:pPr>
            <w:r>
              <w:rPr>
                <w:rFonts w:hint="eastAsia" w:ascii="宋体" w:hAnsi="宋体" w:cs="宋体"/>
                <w:color w:val="auto"/>
                <w:szCs w:val="21"/>
                <w:highlight w:val="none"/>
              </w:rPr>
              <w:t>2.本谈判采购文件中描述供应商的“签字”是指供应商的法定代表人或被授权人亲自在谈判采购文件规定签署处亲笔写上个人的名字的行为，私章、签字章、印鉴、影印等其它形式均不能代替亲笔签字。</w:t>
            </w:r>
          </w:p>
        </w:tc>
      </w:tr>
    </w:tbl>
    <w:p>
      <w:pPr>
        <w:spacing w:line="400" w:lineRule="exact"/>
        <w:jc w:val="center"/>
        <w:rPr>
          <w:rFonts w:ascii="宋体" w:hAnsi="宋体"/>
          <w:b/>
          <w:color w:val="auto"/>
          <w:sz w:val="32"/>
          <w:szCs w:val="32"/>
          <w:highlight w:val="none"/>
        </w:rPr>
      </w:pPr>
      <w:r>
        <w:rPr>
          <w:rFonts w:ascii="宋体" w:hAnsi="宋体"/>
          <w:b/>
          <w:color w:val="auto"/>
          <w:sz w:val="32"/>
          <w:szCs w:val="32"/>
          <w:highlight w:val="none"/>
        </w:rPr>
        <w:br w:type="page"/>
      </w:r>
    </w:p>
    <w:p>
      <w:pPr>
        <w:spacing w:line="400" w:lineRule="exact"/>
        <w:jc w:val="center"/>
        <w:rPr>
          <w:rFonts w:ascii="宋体" w:hAnsi="宋体"/>
          <w:b/>
          <w:color w:val="auto"/>
          <w:sz w:val="32"/>
          <w:szCs w:val="32"/>
          <w:highlight w:val="none"/>
        </w:rPr>
      </w:pPr>
      <w:bookmarkStart w:id="11" w:name="_Toc21831_WPSOffice_Level2"/>
      <w:r>
        <w:rPr>
          <w:rFonts w:hint="eastAsia" w:ascii="宋体" w:hAnsi="宋体"/>
          <w:b/>
          <w:color w:val="auto"/>
          <w:sz w:val="32"/>
          <w:szCs w:val="32"/>
          <w:highlight w:val="none"/>
        </w:rPr>
        <w:t>供应商须知</w:t>
      </w:r>
      <w:bookmarkEnd w:id="11"/>
    </w:p>
    <w:p>
      <w:pPr>
        <w:spacing w:line="360" w:lineRule="exact"/>
        <w:rPr>
          <w:rFonts w:ascii="宋体" w:hAnsi="宋体"/>
          <w:color w:val="auto"/>
          <w:szCs w:val="21"/>
          <w:highlight w:val="none"/>
        </w:rPr>
      </w:pPr>
    </w:p>
    <w:p>
      <w:pPr>
        <w:spacing w:line="360" w:lineRule="exact"/>
        <w:ind w:firstLine="422" w:firstLineChars="200"/>
        <w:rPr>
          <w:rFonts w:ascii="宋体" w:hAnsi="宋体"/>
          <w:b/>
          <w:color w:val="auto"/>
          <w:szCs w:val="21"/>
          <w:highlight w:val="none"/>
        </w:rPr>
      </w:pPr>
      <w:bookmarkStart w:id="12" w:name="_Toc32649_WPSOffice_Level2"/>
      <w:r>
        <w:rPr>
          <w:rFonts w:hint="eastAsia" w:ascii="宋体" w:hAnsi="宋体"/>
          <w:b/>
          <w:color w:val="auto"/>
          <w:szCs w:val="21"/>
          <w:highlight w:val="none"/>
        </w:rPr>
        <w:t>一、总　则</w:t>
      </w:r>
      <w:bookmarkEnd w:id="12"/>
    </w:p>
    <w:p>
      <w:pPr>
        <w:spacing w:line="360" w:lineRule="exact"/>
        <w:ind w:firstLine="420" w:firstLineChars="200"/>
        <w:rPr>
          <w:rFonts w:ascii="宋体" w:hAnsi="宋体"/>
          <w:color w:val="auto"/>
          <w:szCs w:val="21"/>
          <w:highlight w:val="none"/>
        </w:rPr>
      </w:pPr>
      <w:bookmarkStart w:id="13" w:name="_Toc29166_WPSOffice_Level3"/>
      <w:r>
        <w:rPr>
          <w:rFonts w:hint="eastAsia" w:ascii="宋体" w:hAnsi="宋体"/>
          <w:color w:val="auto"/>
          <w:szCs w:val="21"/>
          <w:highlight w:val="none"/>
        </w:rPr>
        <w:t>1. 适用范围</w:t>
      </w:r>
      <w:bookmarkEnd w:id="13"/>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1.1 本文件仅适用于本文件中所叙述的货物、服务类采购项目。</w:t>
      </w:r>
    </w:p>
    <w:p>
      <w:pPr>
        <w:spacing w:line="360" w:lineRule="exact"/>
        <w:ind w:firstLine="420" w:firstLineChars="200"/>
        <w:rPr>
          <w:rFonts w:ascii="宋体" w:hAnsi="宋体"/>
          <w:color w:val="auto"/>
          <w:szCs w:val="21"/>
          <w:highlight w:val="none"/>
        </w:rPr>
      </w:pPr>
      <w:bookmarkStart w:id="14" w:name="_Toc22179_WPSOffice_Level3"/>
      <w:r>
        <w:rPr>
          <w:rFonts w:hint="eastAsia" w:ascii="宋体" w:hAnsi="宋体"/>
          <w:color w:val="auto"/>
          <w:szCs w:val="21"/>
          <w:highlight w:val="none"/>
        </w:rPr>
        <w:t>2. 定义</w:t>
      </w:r>
      <w:bookmarkEnd w:id="14"/>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2.1“采购人”是指：</w:t>
      </w:r>
      <w:r>
        <w:rPr>
          <w:rFonts w:hint="eastAsia" w:ascii="宋体" w:hAnsi="宋体"/>
          <w:color w:val="auto"/>
          <w:szCs w:val="21"/>
          <w:highlight w:val="none"/>
          <w:u w:val="single"/>
        </w:rPr>
        <w:t>广西东博会场馆运营有限公司</w:t>
      </w:r>
    </w:p>
    <w:p>
      <w:pPr>
        <w:spacing w:line="360" w:lineRule="exact"/>
        <w:ind w:firstLine="420" w:firstLineChars="200"/>
        <w:rPr>
          <w:rFonts w:ascii="宋体" w:hAnsi="宋体"/>
          <w:color w:val="auto"/>
          <w:szCs w:val="21"/>
          <w:highlight w:val="none"/>
          <w:u w:val="single"/>
        </w:rPr>
      </w:pPr>
      <w:r>
        <w:rPr>
          <w:rFonts w:hint="eastAsia" w:ascii="宋体" w:hAnsi="宋体"/>
          <w:color w:val="auto"/>
          <w:szCs w:val="21"/>
          <w:highlight w:val="none"/>
        </w:rPr>
        <w:t>2.2“采购代理机构”：无</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2.3“供应商”是指响应本文件要求，参加谈判的法人或者其他组织。如果该供应商在本次谈判中成交，即成为“成交供应商”。</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2.4“货物”是指各种形态和种类的物品，包括原材料、燃料、设备、产品等。</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2.5“服务”是指除货物和工程以外的其他采购对象。</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2.6“响应文件”是指：供应商根据本文件要求，编制包含报价、技术和服务等所有内容的响应文件。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2.7★本项目不接受联合体投标，投标人以联合体形式参加投标的，投标无效。</w:t>
      </w:r>
    </w:p>
    <w:p>
      <w:pPr>
        <w:spacing w:line="360" w:lineRule="exact"/>
        <w:ind w:firstLine="420" w:firstLineChars="200"/>
        <w:rPr>
          <w:rFonts w:ascii="宋体" w:hAnsi="宋体"/>
          <w:color w:val="auto"/>
          <w:szCs w:val="21"/>
          <w:highlight w:val="none"/>
        </w:rPr>
      </w:pPr>
      <w:bookmarkStart w:id="15" w:name="_Toc21831_WPSOffice_Level3"/>
      <w:r>
        <w:rPr>
          <w:rFonts w:hint="eastAsia" w:ascii="宋体" w:hAnsi="宋体"/>
          <w:color w:val="auto"/>
          <w:szCs w:val="21"/>
          <w:highlight w:val="none"/>
        </w:rPr>
        <w:t>3. 供应商的基本条件：</w:t>
      </w:r>
      <w:r>
        <w:rPr>
          <w:rFonts w:hint="eastAsia" w:ascii="宋体" w:hAnsi="宋体"/>
          <w:b/>
          <w:color w:val="auto"/>
          <w:szCs w:val="21"/>
          <w:highlight w:val="none"/>
        </w:rPr>
        <w:t>见“供应商须知前附表”</w:t>
      </w:r>
      <w:r>
        <w:rPr>
          <w:rFonts w:hint="eastAsia" w:ascii="宋体" w:hAnsi="宋体"/>
          <w:color w:val="auto"/>
          <w:szCs w:val="21"/>
          <w:highlight w:val="none"/>
        </w:rPr>
        <w:t>。</w:t>
      </w:r>
      <w:bookmarkEnd w:id="15"/>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3.1 联合体投标</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3.1.1本项目明确不接受联合体形式投标的，本谈判采购文件所有相关联合体要求及格式文件均不适用。供应商以联合体形式参加投标的，竞标无效。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3.1.2本项目接受联合体形式投标的，联合体投标要求如下：</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供应商为联合体形式的，必须提交联合体各方资格文件、联合体协议（格式见附件），否则将视为非实质响应而被拒绝。同时还应遵守以下规定，否则竞标无效：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（1）联合体各方必须签订联合体协议书，明确联合体牵头人和各方权利、义务及分工、合同工作量比例；</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（2）除本谈判采购文件另有规定，联合体各方中至少有一方应当符合本谈判采购文件规定的投标人特定资格条件；联合体中有同类资质的投标人应按照资质等级较低的投标人确定资质等级；</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（3）联合体各方不得再单独或与其他供应商组成新的联合体参加同一项目的采购活动；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（4）联合体的业绩和信誉按联合体主体方（或牵头方）计算。</w:t>
      </w:r>
    </w:p>
    <w:p>
      <w:pPr>
        <w:spacing w:line="360" w:lineRule="exact"/>
        <w:ind w:firstLine="420" w:firstLineChars="200"/>
        <w:rPr>
          <w:rFonts w:ascii="宋体" w:hAnsi="宋体"/>
          <w:color w:val="auto"/>
          <w:szCs w:val="21"/>
          <w:highlight w:val="none"/>
        </w:rPr>
      </w:pPr>
      <w:bookmarkStart w:id="16" w:name="_Toc32649_WPSOffice_Level3"/>
      <w:r>
        <w:rPr>
          <w:rFonts w:hint="eastAsia" w:ascii="宋体" w:hAnsi="宋体"/>
          <w:color w:val="auto"/>
          <w:szCs w:val="21"/>
          <w:highlight w:val="none"/>
        </w:rPr>
        <w:t>4. 谈判费用</w:t>
      </w:r>
      <w:bookmarkEnd w:id="16"/>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4.1 供应商应自行承担所有与编写和提交响应文件有关的费用，不论谈判结果如何，采购人在任何情况下无义务和责任承担此类费用。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4.2本项目代理服务费具体见</w:t>
      </w:r>
      <w:r>
        <w:rPr>
          <w:rFonts w:hint="eastAsia" w:ascii="宋体" w:hAnsi="宋体"/>
          <w:b/>
          <w:color w:val="auto"/>
          <w:szCs w:val="21"/>
          <w:highlight w:val="none"/>
        </w:rPr>
        <w:t>“供应商须知前附表”</w:t>
      </w:r>
      <w:r>
        <w:rPr>
          <w:rFonts w:hint="eastAsia" w:ascii="宋体" w:hAnsi="宋体"/>
          <w:color w:val="auto"/>
          <w:szCs w:val="21"/>
          <w:highlight w:val="none"/>
        </w:rPr>
        <w:t>。</w:t>
      </w:r>
    </w:p>
    <w:p>
      <w:pPr>
        <w:spacing w:line="360" w:lineRule="exact"/>
        <w:ind w:firstLine="422" w:firstLineChars="200"/>
        <w:rPr>
          <w:rFonts w:ascii="宋体" w:hAnsi="宋体"/>
          <w:b/>
          <w:color w:val="auto"/>
          <w:szCs w:val="21"/>
          <w:highlight w:val="none"/>
        </w:rPr>
      </w:pPr>
      <w:bookmarkStart w:id="17" w:name="_Toc18660_WPSOffice_Level2"/>
      <w:r>
        <w:rPr>
          <w:rFonts w:hint="eastAsia" w:ascii="宋体" w:hAnsi="宋体"/>
          <w:b/>
          <w:color w:val="auto"/>
          <w:szCs w:val="21"/>
          <w:highlight w:val="none"/>
        </w:rPr>
        <w:t>二、响应文件的编制</w:t>
      </w:r>
      <w:bookmarkEnd w:id="17"/>
    </w:p>
    <w:p>
      <w:pPr>
        <w:spacing w:line="360" w:lineRule="exact"/>
        <w:ind w:firstLine="420" w:firstLineChars="200"/>
        <w:rPr>
          <w:rFonts w:ascii="宋体" w:hAnsi="宋体"/>
          <w:color w:val="auto"/>
          <w:szCs w:val="21"/>
          <w:highlight w:val="none"/>
        </w:rPr>
      </w:pPr>
      <w:bookmarkStart w:id="18" w:name="_Toc18660_WPSOffice_Level3"/>
      <w:r>
        <w:rPr>
          <w:rFonts w:hint="eastAsia" w:ascii="宋体" w:hAnsi="宋体"/>
          <w:color w:val="auto"/>
          <w:szCs w:val="21"/>
          <w:highlight w:val="none"/>
        </w:rPr>
        <w:t>5. 响应文件编制基本要求</w:t>
      </w:r>
      <w:bookmarkEnd w:id="18"/>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5.1供应商对响应文件的编制应按要求装订和封装。</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5.2供应商提交的响应文件以及供应商与采购人就有关谈判的所有来往函电均应使用中文。供应商提交的支持文件和印刷的文献可以使用别的语言，但其相应内容必须附有中文翻译文本，在解释响应文件时以翻译文本为主。</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5.3供应商应认真阅读、并充分理解本文件的全部内容（包括所有的补充、修改内容），承诺并履行本文件中各项条款规定及要求。</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5.4响应文件必须按本文件的全部内容，包括所有的补充通知及附件进行编制。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5.5如因供应商只填写和提供了本文件要求的部分内容和附件，而给评审造成困难，其可能导致的结果和责任由供应商自行承担。</w:t>
      </w:r>
    </w:p>
    <w:p>
      <w:pPr>
        <w:spacing w:line="360" w:lineRule="exact"/>
        <w:ind w:firstLine="422" w:firstLineChars="200"/>
        <w:rPr>
          <w:rFonts w:ascii="宋体" w:hAnsi="宋体"/>
          <w:b/>
          <w:color w:val="auto"/>
          <w:szCs w:val="21"/>
          <w:highlight w:val="none"/>
        </w:rPr>
      </w:pPr>
      <w:r>
        <w:rPr>
          <w:rFonts w:hint="eastAsia" w:ascii="宋体" w:hAnsi="宋体"/>
          <w:b/>
          <w:color w:val="auto"/>
          <w:szCs w:val="21"/>
          <w:highlight w:val="none"/>
        </w:rPr>
        <w:t>5.6响应文件的组成。</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响应文件应分为价格文件和商务技术文件两个部分组成。</w:t>
      </w:r>
      <w:r>
        <w:rPr>
          <w:rFonts w:hint="eastAsia" w:ascii="宋体" w:hAnsi="宋体"/>
          <w:b/>
          <w:color w:val="auto"/>
          <w:szCs w:val="21"/>
          <w:highlight w:val="none"/>
        </w:rPr>
        <w:t>（下列文件均须加盖竞标单位公章；应该有的必须提供，如未提供，评审小组有权拒绝其响应文件）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5.6.1价格文件</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（1）谈判书（格式见附件一）；</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（2）谈判报价表；（格式见附件二）</w:t>
      </w:r>
      <w:r>
        <w:rPr>
          <w:rFonts w:hint="eastAsia" w:ascii="宋体" w:hAnsi="宋体"/>
          <w:b/>
          <w:color w:val="auto"/>
          <w:szCs w:val="21"/>
          <w:highlight w:val="none"/>
        </w:rPr>
        <w:t>（必须提供）</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5.6.2 商务技术文件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w:t>
      </w:r>
      <w:r>
        <w:rPr>
          <w:rFonts w:hint="eastAsia" w:ascii="宋体" w:hAnsi="宋体"/>
          <w:color w:val="auto"/>
          <w:szCs w:val="21"/>
          <w:highlight w:val="none"/>
        </w:rPr>
        <w:t>）有效的新版“营业执照”副本或《事业单位法人证书》复印件</w:t>
      </w:r>
      <w:r>
        <w:rPr>
          <w:rFonts w:ascii="宋体" w:hAnsi="宋体"/>
          <w:color w:val="auto"/>
          <w:szCs w:val="21"/>
          <w:highlight w:val="none"/>
        </w:rPr>
        <w:t>(</w:t>
      </w:r>
      <w:r>
        <w:rPr>
          <w:rFonts w:hint="eastAsia" w:ascii="宋体" w:hAnsi="宋体"/>
          <w:color w:val="auto"/>
          <w:szCs w:val="21"/>
          <w:highlight w:val="none"/>
        </w:rPr>
        <w:t>经营范围包含本次采购服务）；</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）法定代表人身份证明原件及法定代表人有效身份证正反面复印件（格式见附件六）；</w:t>
      </w:r>
      <w:r>
        <w:rPr>
          <w:rFonts w:hint="eastAsia" w:ascii="宋体" w:hAnsi="宋体"/>
          <w:b/>
          <w:color w:val="auto"/>
          <w:szCs w:val="21"/>
          <w:highlight w:val="none"/>
        </w:rPr>
        <w:t>（必须提供）</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）法定代表人授权委托书原件及被授权人有效身份证正反面复印件（格式见附件六）；</w:t>
      </w:r>
      <w:r>
        <w:rPr>
          <w:rFonts w:hint="eastAsia" w:ascii="宋体" w:hAnsi="宋体"/>
          <w:b/>
          <w:color w:val="auto"/>
          <w:szCs w:val="21"/>
          <w:highlight w:val="none"/>
        </w:rPr>
        <w:t>[委托代理时必须提供，同时须提供第（4）项]</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）联合体竞标协议书（正本用原件，副本可用复印件）（格式见附件六）；</w:t>
      </w:r>
      <w:r>
        <w:rPr>
          <w:rFonts w:hint="eastAsia" w:ascii="宋体" w:hAnsi="宋体"/>
          <w:b/>
          <w:color w:val="auto"/>
          <w:szCs w:val="21"/>
          <w:highlight w:val="none"/>
        </w:rPr>
        <w:t>[联合体投标时必须提供（若本项目不接受联合体投标的此项不适用）]</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5</w:t>
      </w:r>
      <w:r>
        <w:rPr>
          <w:rFonts w:hint="eastAsia" w:ascii="宋体" w:hAnsi="宋体"/>
          <w:color w:val="auto"/>
          <w:szCs w:val="21"/>
          <w:highlight w:val="none"/>
        </w:rPr>
        <w:t>）参加采购活动前三年内在经营活动中没有重大违法记录的书面声明（格式见附件七）；</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）服务响应偏离情况说明表（格式见附件三）、商务条款偏离表（格式见附件四）；</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7</w:t>
      </w:r>
      <w:r>
        <w:rPr>
          <w:rFonts w:hint="eastAsia" w:ascii="宋体" w:hAnsi="宋体"/>
          <w:color w:val="auto"/>
          <w:szCs w:val="21"/>
          <w:highlight w:val="none"/>
        </w:rPr>
        <w:t>）投入设备响应表（格式见附件五）；</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8</w:t>
      </w:r>
      <w:r>
        <w:rPr>
          <w:rFonts w:hint="eastAsia" w:ascii="宋体" w:hAnsi="宋体"/>
          <w:color w:val="auto"/>
          <w:szCs w:val="21"/>
          <w:highlight w:val="none"/>
        </w:rPr>
        <w:t>）服务承诺（请结合第三章“项目需求”自行编写）；</w:t>
      </w:r>
      <w:r>
        <w:rPr>
          <w:rFonts w:hint="eastAsia" w:ascii="宋体" w:hAnsi="宋体"/>
          <w:b/>
          <w:color w:val="auto"/>
          <w:szCs w:val="21"/>
          <w:highlight w:val="none"/>
        </w:rPr>
        <w:t>（必须提供）</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9</w:t>
      </w:r>
      <w:r>
        <w:rPr>
          <w:rFonts w:hint="eastAsia" w:ascii="宋体" w:hAnsi="宋体"/>
          <w:color w:val="auto"/>
          <w:szCs w:val="21"/>
          <w:highlight w:val="none"/>
        </w:rPr>
        <w:t>）项目实施人员一览表（格式自拟）；</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10</w:t>
      </w:r>
      <w:r>
        <w:rPr>
          <w:rFonts w:hint="eastAsia" w:ascii="宋体" w:hAnsi="宋体"/>
          <w:color w:val="auto"/>
          <w:szCs w:val="21"/>
          <w:highlight w:val="none"/>
        </w:rPr>
        <w:t>）优惠条件：供应商承诺给予采购人的各种优惠条件，包括服务、备品备件、专用耗材等方面的优惠(格式自拟)</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11</w:t>
      </w:r>
      <w:r>
        <w:rPr>
          <w:rFonts w:hint="eastAsia" w:ascii="宋体" w:hAnsi="宋体"/>
          <w:color w:val="auto"/>
          <w:szCs w:val="21"/>
          <w:highlight w:val="none"/>
        </w:rPr>
        <w:t>）质量保证措施；</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12</w:t>
      </w:r>
      <w:r>
        <w:rPr>
          <w:rFonts w:hint="eastAsia" w:ascii="宋体" w:hAnsi="宋体"/>
          <w:color w:val="auto"/>
          <w:szCs w:val="21"/>
          <w:highlight w:val="none"/>
        </w:rPr>
        <w:t>）国家有强制性要求的应按国家规定执行，并提供相关证明材料；</w:t>
      </w:r>
    </w:p>
    <w:p>
      <w:pPr>
        <w:spacing w:line="360" w:lineRule="exact"/>
        <w:ind w:firstLine="424" w:firstLineChars="202"/>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13</w:t>
      </w:r>
      <w:r>
        <w:rPr>
          <w:rFonts w:hint="eastAsia" w:ascii="宋体" w:hAnsi="宋体"/>
          <w:color w:val="auto"/>
          <w:szCs w:val="21"/>
          <w:highlight w:val="none"/>
        </w:rPr>
        <w:t>）供应商认为需要提供的有关资料。</w:t>
      </w:r>
    </w:p>
    <w:p>
      <w:pPr>
        <w:spacing w:line="360" w:lineRule="exact"/>
        <w:ind w:firstLine="420" w:firstLineChars="200"/>
        <w:rPr>
          <w:rFonts w:ascii="宋体" w:hAnsi="宋体"/>
          <w:color w:val="auto"/>
          <w:szCs w:val="21"/>
          <w:highlight w:val="none"/>
        </w:rPr>
      </w:pPr>
      <w:bookmarkStart w:id="19" w:name="_Toc9306_WPSOffice_Level3"/>
      <w:r>
        <w:rPr>
          <w:rFonts w:hint="eastAsia" w:ascii="宋体" w:hAnsi="宋体"/>
          <w:color w:val="auto"/>
          <w:szCs w:val="21"/>
          <w:highlight w:val="none"/>
        </w:rPr>
        <w:t>6. 计量单位</w:t>
      </w:r>
      <w:bookmarkEnd w:id="19"/>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6.1除技术要求中另有规定外，本文件所要求使用的计量单位均应采用国家法定计量单位。</w:t>
      </w:r>
    </w:p>
    <w:p>
      <w:pPr>
        <w:spacing w:line="360" w:lineRule="exact"/>
        <w:ind w:left="420" w:leftChars="200"/>
        <w:rPr>
          <w:rFonts w:ascii="宋体" w:hAnsi="宋体"/>
          <w:color w:val="auto"/>
          <w:szCs w:val="21"/>
          <w:highlight w:val="none"/>
        </w:rPr>
      </w:pPr>
      <w:bookmarkStart w:id="20" w:name="_Toc31637_WPSOffice_Level3"/>
      <w:r>
        <w:rPr>
          <w:rFonts w:hint="eastAsia" w:ascii="宋体" w:hAnsi="宋体"/>
          <w:color w:val="auto"/>
          <w:szCs w:val="21"/>
          <w:highlight w:val="none"/>
        </w:rPr>
        <w:t>7.响应文件有效期</w:t>
      </w:r>
      <w:bookmarkEnd w:id="20"/>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7.1响应文件有效期按须知前附表规定的期限，有效期不足的响应文件按无效处理。</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7.2未成交的响应文件有效期内均应保持有效。</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7.3成交供应商的响应文件自响应文件递交截止之日起至合同履行完毕止均应保持有效。</w:t>
      </w:r>
    </w:p>
    <w:p>
      <w:pPr>
        <w:spacing w:line="360" w:lineRule="exact"/>
        <w:ind w:left="420" w:leftChars="200"/>
        <w:rPr>
          <w:rFonts w:ascii="宋体" w:hAnsi="宋体"/>
          <w:color w:val="auto"/>
          <w:szCs w:val="21"/>
          <w:highlight w:val="none"/>
        </w:rPr>
      </w:pPr>
      <w:bookmarkStart w:id="21" w:name="_Toc18558_WPSOffice_Level3"/>
      <w:r>
        <w:rPr>
          <w:rFonts w:hint="eastAsia" w:ascii="宋体" w:hAnsi="宋体"/>
          <w:color w:val="auto"/>
          <w:szCs w:val="21"/>
          <w:highlight w:val="none"/>
        </w:rPr>
        <w:t>8.竞标保证金</w:t>
      </w:r>
      <w:bookmarkEnd w:id="21"/>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8.1供应商必须按须知前附表的规定交纳竞标保证金，否则，其响应文件按无效响应处理。</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8.2竞标保证金交纳方式：按须知前附表的规定。</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8.3竞标保证金交纳截止时间：按须知前附表的规定。</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8.4竞标保证金的退还均以转账形式退回到供应商银行账户。</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8.5.1未成交供应商的竞标保证金在成交通知书发出后五个工作日内退还。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8.5.2成交供应商的竞标保证金在成交供应商与采购人签订合同并送合同给代理机构存档后五个工作日内退还。</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8.6供应商有下列情形之一的，竞标保证金将不予退还：</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（1）供应商在提交响应文件截止时间后撤回响应文件的；</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（2）供应商在响应文件中提供虚假材料的；</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（3）除因不可抗力或谈判采购文件认可的情形以外，成交供应商不与采购人签订合同的；</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（4）供应商与采购人、其他供应商恶意串通的；</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（5）谈判采购文件规定的其他情形。</w:t>
      </w:r>
    </w:p>
    <w:p>
      <w:pPr>
        <w:spacing w:line="360" w:lineRule="exact"/>
        <w:ind w:firstLine="422" w:firstLineChars="200"/>
        <w:rPr>
          <w:rFonts w:ascii="宋体" w:hAnsi="宋体"/>
          <w:b/>
          <w:color w:val="auto"/>
          <w:szCs w:val="21"/>
          <w:highlight w:val="none"/>
        </w:rPr>
      </w:pPr>
      <w:bookmarkStart w:id="22" w:name="_Toc9306_WPSOffice_Level2"/>
      <w:r>
        <w:rPr>
          <w:rFonts w:hint="eastAsia" w:ascii="宋体" w:hAnsi="宋体"/>
          <w:b/>
          <w:color w:val="auto"/>
          <w:szCs w:val="21"/>
          <w:highlight w:val="none"/>
        </w:rPr>
        <w:t>三、谈判报价要求</w:t>
      </w:r>
      <w:bookmarkEnd w:id="22"/>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9.1供应商必须就所投项目的全部内容作完整唯一报价，漏项报价的或有选择的或有条件的报价，其竞标将视为无效。</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9.2对于本文件中未列明，而供应商认为必需的费用也需列入总报价。在合同实施时，采购人将不予支付成交供应商没有列入的项目费用，并认为此项目的费用已包括在总报价中。</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9.3成交供应商负责本项目所需货物的制造、运输、售后服务等全部工作。</w:t>
      </w:r>
    </w:p>
    <w:p>
      <w:pPr>
        <w:spacing w:line="360" w:lineRule="exact"/>
        <w:ind w:firstLine="422" w:firstLineChars="200"/>
        <w:rPr>
          <w:rFonts w:ascii="宋体" w:hAnsi="宋体"/>
          <w:b/>
          <w:color w:val="auto"/>
          <w:szCs w:val="21"/>
          <w:highlight w:val="none"/>
        </w:rPr>
      </w:pPr>
      <w:bookmarkStart w:id="23" w:name="_Toc31637_WPSOffice_Level2"/>
      <w:r>
        <w:rPr>
          <w:rFonts w:hint="eastAsia" w:ascii="宋体" w:hAnsi="宋体"/>
          <w:b/>
          <w:color w:val="auto"/>
          <w:szCs w:val="21"/>
          <w:highlight w:val="none"/>
        </w:rPr>
        <w:t>四、响应文件的份数、封装和递交</w:t>
      </w:r>
      <w:bookmarkEnd w:id="23"/>
    </w:p>
    <w:p>
      <w:pPr>
        <w:spacing w:line="360" w:lineRule="exact"/>
        <w:ind w:left="420" w:leftChars="200"/>
        <w:rPr>
          <w:rFonts w:ascii="宋体" w:hAnsi="宋体"/>
          <w:color w:val="auto"/>
          <w:szCs w:val="21"/>
          <w:highlight w:val="none"/>
        </w:rPr>
      </w:pPr>
      <w:bookmarkStart w:id="24" w:name="_Toc31657_WPSOffice_Level3"/>
      <w:r>
        <w:rPr>
          <w:rFonts w:hint="eastAsia" w:ascii="宋体" w:hAnsi="宋体"/>
          <w:color w:val="auto"/>
          <w:szCs w:val="21"/>
          <w:highlight w:val="none"/>
        </w:rPr>
        <w:t>10. 谈判响应文件的份数和封装</w:t>
      </w:r>
      <w:bookmarkEnd w:id="24"/>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10.1供应商应将响应文件中“价格文件”和“商务技术文件”单独封装，即：“价格文件”正本一份，副本两份；“商务技术文件”正本一份，副本两份。信封上标明“价格文件”，“商务技术文件”，然后再将所有信封封装在一个外层信封中。</w:t>
      </w:r>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10.2响应文件的信封上应写明：</w:t>
      </w:r>
    </w:p>
    <w:p>
      <w:pPr>
        <w:spacing w:line="360" w:lineRule="exact"/>
        <w:ind w:left="420"/>
        <w:rPr>
          <w:rFonts w:ascii="宋体" w:hAnsi="宋体"/>
          <w:color w:val="auto"/>
          <w:szCs w:val="21"/>
          <w:highlight w:val="none"/>
        </w:rPr>
      </w:pPr>
      <w:r>
        <w:rPr>
          <w:rFonts w:hint="eastAsia" w:ascii="宋体" w:hAnsi="宋体"/>
          <w:color w:val="auto"/>
          <w:szCs w:val="21"/>
          <w:highlight w:val="none"/>
        </w:rPr>
        <w:t>（1）项目编号；</w:t>
      </w:r>
    </w:p>
    <w:p>
      <w:pPr>
        <w:spacing w:line="360" w:lineRule="exact"/>
        <w:ind w:left="420"/>
        <w:rPr>
          <w:rFonts w:ascii="宋体" w:hAnsi="宋体"/>
          <w:color w:val="auto"/>
          <w:szCs w:val="21"/>
          <w:highlight w:val="none"/>
        </w:rPr>
      </w:pPr>
      <w:r>
        <w:rPr>
          <w:rFonts w:hint="eastAsia" w:ascii="宋体" w:hAnsi="宋体"/>
          <w:color w:val="auto"/>
          <w:szCs w:val="21"/>
          <w:highlight w:val="none"/>
        </w:rPr>
        <w:t>（2）项目名称；</w:t>
      </w:r>
    </w:p>
    <w:p>
      <w:pPr>
        <w:spacing w:line="360" w:lineRule="exact"/>
        <w:ind w:left="420"/>
        <w:rPr>
          <w:rFonts w:ascii="宋体" w:hAnsi="宋体"/>
          <w:color w:val="auto"/>
          <w:szCs w:val="21"/>
          <w:highlight w:val="none"/>
        </w:rPr>
      </w:pPr>
      <w:r>
        <w:rPr>
          <w:rFonts w:hint="eastAsia" w:ascii="宋体" w:hAnsi="宋体"/>
          <w:color w:val="auto"/>
          <w:szCs w:val="21"/>
          <w:highlight w:val="none"/>
        </w:rPr>
        <w:t>（3）供应商名称。</w:t>
      </w:r>
    </w:p>
    <w:p>
      <w:pPr>
        <w:spacing w:line="360" w:lineRule="exact"/>
        <w:ind w:firstLine="420" w:firstLineChars="200"/>
        <w:rPr>
          <w:rFonts w:ascii="宋体" w:hAnsi="宋体"/>
          <w:color w:val="auto"/>
          <w:szCs w:val="21"/>
          <w:highlight w:val="none"/>
        </w:rPr>
      </w:pPr>
      <w:bookmarkStart w:id="25" w:name="_Toc8037_WPSOffice_Level3"/>
      <w:r>
        <w:rPr>
          <w:rFonts w:hint="eastAsia" w:ascii="宋体" w:hAnsi="宋体"/>
          <w:color w:val="auto"/>
          <w:szCs w:val="21"/>
          <w:highlight w:val="none"/>
        </w:rPr>
        <w:t>11. 响应文件的递交</w:t>
      </w:r>
      <w:bookmarkEnd w:id="25"/>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所有响应文件应于谈判采购文件中规定的时间前递交到广西东博会场馆运营有限公司。</w:t>
      </w:r>
    </w:p>
    <w:p>
      <w:pPr>
        <w:spacing w:line="360" w:lineRule="exact"/>
        <w:ind w:firstLine="420" w:firstLineChars="200"/>
        <w:rPr>
          <w:rFonts w:ascii="宋体" w:hAnsi="宋体"/>
          <w:color w:val="auto"/>
          <w:szCs w:val="21"/>
          <w:highlight w:val="none"/>
        </w:rPr>
      </w:pPr>
      <w:bookmarkStart w:id="26" w:name="_Toc7078_WPSOffice_Level3"/>
      <w:r>
        <w:rPr>
          <w:rFonts w:hint="eastAsia" w:ascii="宋体" w:hAnsi="宋体"/>
          <w:color w:val="auto"/>
          <w:szCs w:val="21"/>
          <w:highlight w:val="none"/>
        </w:rPr>
        <w:t>12.迟交的响应文件</w:t>
      </w:r>
      <w:bookmarkEnd w:id="26"/>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广西东博会场馆运营有限公司拒绝或原封退回在其规定的递交响应文件截止时间之后收到的任何响应文件。</w:t>
      </w:r>
    </w:p>
    <w:p>
      <w:pPr>
        <w:spacing w:line="360" w:lineRule="exact"/>
        <w:ind w:firstLine="422" w:firstLineChars="200"/>
        <w:rPr>
          <w:rFonts w:ascii="宋体" w:hAnsi="宋体"/>
          <w:b/>
          <w:color w:val="auto"/>
          <w:szCs w:val="21"/>
          <w:highlight w:val="none"/>
        </w:rPr>
      </w:pPr>
      <w:bookmarkStart w:id="27" w:name="_Toc18558_WPSOffice_Level2"/>
      <w:r>
        <w:rPr>
          <w:rFonts w:hint="eastAsia" w:ascii="宋体" w:hAnsi="宋体"/>
          <w:b/>
          <w:color w:val="auto"/>
          <w:szCs w:val="21"/>
          <w:highlight w:val="none"/>
        </w:rPr>
        <w:t>五、响应文件评审及谈判的步骤</w:t>
      </w:r>
      <w:bookmarkEnd w:id="27"/>
    </w:p>
    <w:p>
      <w:pPr>
        <w:spacing w:line="36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13.1谈判小组由采购人代表和</w:t>
      </w:r>
      <w:r>
        <w:rPr>
          <w:rFonts w:hint="eastAsia" w:ascii="宋体" w:hAnsi="宋体" w:cs="宋体"/>
          <w:color w:val="auto"/>
          <w:kern w:val="0"/>
          <w:szCs w:val="21"/>
          <w:highlight w:val="none"/>
          <w:lang w:eastAsia="zh-CN"/>
        </w:rPr>
        <w:t>相关评委</w:t>
      </w:r>
      <w:r>
        <w:rPr>
          <w:rFonts w:hint="eastAsia" w:ascii="宋体" w:hAnsi="宋体" w:cs="宋体"/>
          <w:color w:val="auto"/>
          <w:kern w:val="0"/>
          <w:szCs w:val="21"/>
          <w:highlight w:val="none"/>
        </w:rPr>
        <w:t>共3人以上单数组成，其中</w:t>
      </w:r>
      <w:r>
        <w:rPr>
          <w:rFonts w:hint="eastAsia" w:ascii="宋体" w:hAnsi="宋体" w:cs="宋体"/>
          <w:color w:val="auto"/>
          <w:kern w:val="0"/>
          <w:szCs w:val="21"/>
          <w:highlight w:val="none"/>
          <w:lang w:eastAsia="zh-CN"/>
        </w:rPr>
        <w:t>相关评委</w:t>
      </w:r>
      <w:r>
        <w:rPr>
          <w:rFonts w:hint="eastAsia" w:ascii="宋体" w:hAnsi="宋体" w:cs="宋体"/>
          <w:color w:val="auto"/>
          <w:kern w:val="0"/>
          <w:szCs w:val="21"/>
          <w:highlight w:val="none"/>
        </w:rPr>
        <w:t>人数不得少于谈判小组成员总数的2/3。</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13.2</w:t>
      </w:r>
      <w:r>
        <w:rPr>
          <w:rFonts w:ascii="宋体" w:hAnsi="宋体"/>
          <w:color w:val="auto"/>
          <w:szCs w:val="21"/>
          <w:highlight w:val="none"/>
        </w:rPr>
        <w:t>谈判小组</w:t>
      </w:r>
      <w:r>
        <w:rPr>
          <w:rFonts w:hint="eastAsia" w:ascii="宋体" w:hAnsi="宋体"/>
          <w:color w:val="auto"/>
          <w:szCs w:val="21"/>
          <w:highlight w:val="none"/>
        </w:rPr>
        <w:t>确认谈判采购文件。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13.3谈判小组对竞标资格条件及响应文件的有效性、完整性和响应程度进行审查。</w:t>
      </w:r>
    </w:p>
    <w:p>
      <w:pPr>
        <w:spacing w:line="360" w:lineRule="exact"/>
        <w:ind w:firstLine="420" w:firstLineChars="200"/>
        <w:rPr>
          <w:rFonts w:ascii="宋体" w:hAnsi="宋体"/>
          <w:color w:val="auto"/>
          <w:szCs w:val="21"/>
          <w:highlight w:val="none"/>
        </w:rPr>
      </w:pPr>
      <w:bookmarkStart w:id="28" w:name="_Toc21234_WPSOffice_Level3"/>
      <w:r>
        <w:rPr>
          <w:rFonts w:hint="eastAsia" w:ascii="宋体" w:hAnsi="宋体"/>
          <w:color w:val="auto"/>
          <w:szCs w:val="21"/>
          <w:highlight w:val="none"/>
        </w:rPr>
        <w:t>13.3.1澄清</w:t>
      </w:r>
      <w:bookmarkEnd w:id="28"/>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13.4谈判</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谈判小组按已确定的谈判顺序集中与单一供应商分别进行谈判，并给予所有参加谈判的供应商平等的谈判机会。谈判的内容包括技术性条件、商务性条件以及谈判小组认为需要谈判的内容。</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对谈判采购文件作出的实质性变动是谈判采购文件的有效组成部分，谈判小组应当及时以书面形式同时通知所有参加谈判的供应商。</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供应商应当按照谈判采购文件的变动情况和谈判小组的要求重新提交响应文件，并由其法定代表人或授权代表签字或者加盖公章。由授权代表签字的，应当附法定代表人授权书。</w:t>
      </w:r>
    </w:p>
    <w:p>
      <w:pPr>
        <w:spacing w:line="360" w:lineRule="exact"/>
        <w:ind w:firstLine="404" w:firstLineChars="200"/>
        <w:rPr>
          <w:rFonts w:ascii="宋体" w:hAnsi="宋体"/>
          <w:color w:val="auto"/>
          <w:spacing w:val="-4"/>
          <w:szCs w:val="21"/>
          <w:highlight w:val="none"/>
        </w:rPr>
      </w:pPr>
      <w:r>
        <w:rPr>
          <w:rFonts w:hint="eastAsia" w:ascii="宋体" w:hAnsi="宋体"/>
          <w:color w:val="auto"/>
          <w:spacing w:val="-4"/>
          <w:szCs w:val="21"/>
          <w:highlight w:val="none"/>
        </w:rPr>
        <w:t>谈判中，谈判的任何一方不得透露与谈判有关的其他供应商的技术资料、价格和其他信息。</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我公司根据需要对谈判过程和重要谈判内容进行记录，谈判双方在记录上签字确认。</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13.5最后报价</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13.5.1谈判采购文件能够详细列明采购标的的技术、服务要求的，谈判结束后，谈判小组应当要求所有继续参加谈判的供应商在规定时间内密封提交最后报价，原则上参加采购的供应商不得少于3家，经采购人确认，提交最后报价的供应商可以为2家。</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13.5.2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13.5.3最后报价是供应商响应文件的有效组成部分。</w:t>
      </w:r>
    </w:p>
    <w:p>
      <w:pPr>
        <w:widowControl/>
        <w:tabs>
          <w:tab w:val="left" w:pos="540"/>
        </w:tabs>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13.6本采购项目是以采购人采购预算价为最高限价，超出采购预算价的最终竞标报价，谈判小组将不予以评审。</w:t>
      </w:r>
    </w:p>
    <w:p>
      <w:pPr>
        <w:widowControl/>
        <w:tabs>
          <w:tab w:val="left" w:pos="540"/>
        </w:tabs>
        <w:spacing w:line="360" w:lineRule="exact"/>
        <w:ind w:firstLine="420" w:firstLineChars="200"/>
        <w:jc w:val="left"/>
        <w:rPr>
          <w:rFonts w:hAnsi="宋体"/>
          <w:b/>
          <w:bCs/>
          <w:color w:val="auto"/>
          <w:highlight w:val="none"/>
        </w:rPr>
      </w:pPr>
      <w:r>
        <w:rPr>
          <w:rFonts w:hint="eastAsia" w:ascii="宋体" w:hAnsi="宋体"/>
          <w:color w:val="auto"/>
          <w:szCs w:val="21"/>
          <w:highlight w:val="none"/>
        </w:rPr>
        <w:t>13.7</w:t>
      </w:r>
      <w:r>
        <w:rPr>
          <w:rFonts w:hint="eastAsia" w:hAnsi="宋体"/>
          <w:b/>
          <w:bCs/>
          <w:color w:val="auto"/>
          <w:highlight w:val="none"/>
        </w:rPr>
        <w:t>在评标过程中出现法律法规和谈判采购文件均没有明确规定的情形时，由谈判小组现场协商解决，协商不一致的，由全体谈判小组投票表决，以得票率二分之一以上专家的意见为准。</w:t>
      </w:r>
    </w:p>
    <w:p>
      <w:pPr>
        <w:widowControl/>
        <w:tabs>
          <w:tab w:val="left" w:pos="540"/>
        </w:tabs>
        <w:spacing w:line="360" w:lineRule="exact"/>
        <w:ind w:firstLine="420" w:firstLineChars="200"/>
        <w:jc w:val="left"/>
        <w:rPr>
          <w:rFonts w:ascii="宋体" w:hAnsi="宋体"/>
          <w:color w:val="auto"/>
          <w:szCs w:val="21"/>
          <w:highlight w:val="none"/>
        </w:rPr>
      </w:pPr>
      <w:r>
        <w:rPr>
          <w:rFonts w:hint="eastAsia" w:ascii="宋体" w:hAnsi="宋体"/>
          <w:bCs/>
          <w:color w:val="auto"/>
          <w:highlight w:val="none"/>
        </w:rPr>
        <w:t>13.8</w:t>
      </w:r>
      <w:r>
        <w:rPr>
          <w:rFonts w:hint="eastAsia" w:ascii="宋体" w:hAnsi="宋体"/>
          <w:color w:val="auto"/>
          <w:szCs w:val="21"/>
          <w:highlight w:val="none"/>
        </w:rPr>
        <w:t>特别说明：</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（2）供应商竞标所使用的资格、信誉、荣誉、业绩与企业认证必须为本法人所拥有。</w:t>
      </w:r>
    </w:p>
    <w:p>
      <w:pPr>
        <w:widowControl/>
        <w:spacing w:line="36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（3）供应商应仔细阅读谈判采购文件的所有内容，按照谈判采购文件的要求提交响应文件，并对所提供的全部资料的真实性承担法律责任。</w:t>
      </w:r>
    </w:p>
    <w:p>
      <w:pPr>
        <w:widowControl/>
        <w:spacing w:line="360" w:lineRule="exact"/>
        <w:ind w:firstLine="420" w:firstLineChars="200"/>
        <w:jc w:val="left"/>
        <w:rPr>
          <w:rFonts w:hAnsi="宋体"/>
          <w:color w:val="auto"/>
          <w:highlight w:val="none"/>
        </w:rPr>
      </w:pPr>
      <w:r>
        <w:rPr>
          <w:rFonts w:hint="eastAsia" w:ascii="宋体" w:hAnsi="宋体"/>
          <w:color w:val="auto"/>
          <w:szCs w:val="21"/>
          <w:highlight w:val="none"/>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rFonts w:ascii="宋体" w:hAnsi="宋体"/>
          <w:b/>
          <w:color w:val="auto"/>
          <w:szCs w:val="21"/>
          <w:highlight w:val="none"/>
        </w:rPr>
      </w:pPr>
      <w:bookmarkStart w:id="29" w:name="_Toc31657_WPSOffice_Level2"/>
      <w:r>
        <w:rPr>
          <w:rFonts w:hint="eastAsia" w:ascii="宋体" w:hAnsi="宋体"/>
          <w:b/>
          <w:color w:val="auto"/>
          <w:szCs w:val="21"/>
          <w:highlight w:val="none"/>
        </w:rPr>
        <w:t>六、确定成交供应商办法及结果公告</w:t>
      </w:r>
      <w:bookmarkEnd w:id="29"/>
    </w:p>
    <w:p>
      <w:pPr>
        <w:spacing w:line="360" w:lineRule="exact"/>
        <w:ind w:firstLine="420" w:firstLineChars="200"/>
        <w:rPr>
          <w:rFonts w:ascii="宋体" w:hAnsi="宋体" w:cs="宋体"/>
          <w:color w:val="auto"/>
          <w:kern w:val="0"/>
          <w:szCs w:val="21"/>
          <w:highlight w:val="none"/>
        </w:rPr>
      </w:pPr>
      <w:r>
        <w:rPr>
          <w:rFonts w:hint="eastAsia" w:ascii="宋体" w:hAnsi="宋体"/>
          <w:color w:val="auto"/>
          <w:szCs w:val="21"/>
          <w:highlight w:val="none"/>
        </w:rPr>
        <w:t>14.1</w:t>
      </w:r>
      <w:r>
        <w:rPr>
          <w:rFonts w:ascii="宋体" w:hAnsi="宋体" w:cs="宋体"/>
          <w:color w:val="auto"/>
          <w:kern w:val="0"/>
          <w:szCs w:val="21"/>
          <w:highlight w:val="none"/>
        </w:rPr>
        <w:t>采购人应当</w:t>
      </w:r>
      <w:r>
        <w:rPr>
          <w:rFonts w:hint="eastAsia" w:ascii="宋体" w:hAnsi="宋体" w:cs="宋体"/>
          <w:color w:val="auto"/>
          <w:kern w:val="0"/>
          <w:szCs w:val="21"/>
          <w:highlight w:val="none"/>
        </w:rPr>
        <w:t>评标</w:t>
      </w:r>
      <w:r>
        <w:rPr>
          <w:rFonts w:ascii="宋体" w:hAnsi="宋体" w:cs="宋体"/>
          <w:color w:val="auto"/>
          <w:kern w:val="0"/>
          <w:szCs w:val="21"/>
          <w:highlight w:val="none"/>
        </w:rPr>
        <w:t>后5个工作日内确定成交供应商</w:t>
      </w:r>
      <w:r>
        <w:rPr>
          <w:rFonts w:hint="eastAsia" w:ascii="宋体" w:hAnsi="宋体" w:cs="宋体"/>
          <w:color w:val="auto"/>
          <w:kern w:val="0"/>
          <w:szCs w:val="21"/>
          <w:highlight w:val="none"/>
        </w:rPr>
        <w:t>。</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14.2采购人</w:t>
      </w:r>
      <w:r>
        <w:rPr>
          <w:rFonts w:ascii="宋体" w:hAnsi="宋体"/>
          <w:color w:val="auto"/>
          <w:szCs w:val="21"/>
          <w:highlight w:val="none"/>
        </w:rPr>
        <w:t>应当在成交供应商确定后2个工作日内，在</w:t>
      </w:r>
      <w:r>
        <w:rPr>
          <w:rFonts w:hint="eastAsia" w:ascii="宋体" w:hAnsi="宋体"/>
          <w:color w:val="auto"/>
          <w:szCs w:val="21"/>
          <w:highlight w:val="none"/>
        </w:rPr>
        <w:t>广西国际博览集团官网</w:t>
      </w:r>
      <w:r>
        <w:rPr>
          <w:rFonts w:hint="eastAsia" w:ascii="宋体" w:hAnsi="宋体"/>
          <w:color w:val="auto"/>
          <w:szCs w:val="21"/>
          <w:highlight w:val="none"/>
          <w:lang w:eastAsia="zh-CN"/>
        </w:rPr>
        <w:t>、广西东博会场馆运营有限公司官网</w:t>
      </w:r>
      <w:r>
        <w:rPr>
          <w:rFonts w:ascii="宋体" w:hAnsi="宋体"/>
          <w:color w:val="auto"/>
          <w:szCs w:val="21"/>
          <w:highlight w:val="none"/>
        </w:rPr>
        <w:t>上公告成交结果，同时向成交供应商发出成交通知书</w:t>
      </w:r>
      <w:r>
        <w:rPr>
          <w:rFonts w:hint="eastAsia" w:ascii="宋体" w:hAnsi="宋体"/>
          <w:color w:val="auto"/>
          <w:szCs w:val="21"/>
          <w:highlight w:val="none"/>
        </w:rPr>
        <w:t>。</w:t>
      </w:r>
    </w:p>
    <w:p>
      <w:pPr>
        <w:spacing w:line="360" w:lineRule="exact"/>
        <w:ind w:firstLine="422" w:firstLineChars="200"/>
        <w:rPr>
          <w:rFonts w:ascii="宋体" w:hAnsi="宋体"/>
          <w:b/>
          <w:color w:val="auto"/>
          <w:szCs w:val="21"/>
          <w:highlight w:val="none"/>
        </w:rPr>
      </w:pPr>
      <w:bookmarkStart w:id="30" w:name="_Toc8037_WPSOffice_Level2"/>
      <w:r>
        <w:rPr>
          <w:rFonts w:hint="eastAsia" w:ascii="宋体" w:hAnsi="宋体"/>
          <w:b/>
          <w:color w:val="auto"/>
          <w:szCs w:val="21"/>
          <w:highlight w:val="none"/>
        </w:rPr>
        <w:t>七、履约保证金</w:t>
      </w:r>
      <w:bookmarkEnd w:id="30"/>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15.1 是否收取履约保证金具体见</w:t>
      </w:r>
      <w:r>
        <w:rPr>
          <w:rFonts w:hint="eastAsia" w:ascii="宋体" w:hAnsi="宋体"/>
          <w:b/>
          <w:color w:val="auto"/>
          <w:szCs w:val="21"/>
          <w:highlight w:val="none"/>
        </w:rPr>
        <w:t>“供应商须知前附表”</w:t>
      </w:r>
      <w:r>
        <w:rPr>
          <w:rFonts w:hint="eastAsia" w:ascii="宋体" w:hAnsi="宋体"/>
          <w:color w:val="auto"/>
          <w:szCs w:val="21"/>
          <w:highlight w:val="none"/>
        </w:rPr>
        <w:t>。</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15.2 成交人在收到采购人的《成交通知书》后，签订合同前，应按照</w:t>
      </w:r>
      <w:r>
        <w:rPr>
          <w:rFonts w:hint="eastAsia" w:ascii="宋体" w:hAnsi="宋体"/>
          <w:b/>
          <w:color w:val="auto"/>
          <w:szCs w:val="21"/>
          <w:highlight w:val="none"/>
        </w:rPr>
        <w:t>供应商须知前附表</w:t>
      </w:r>
      <w:r>
        <w:rPr>
          <w:rFonts w:hint="eastAsia" w:ascii="宋体" w:hAnsi="宋体"/>
          <w:color w:val="auto"/>
          <w:szCs w:val="21"/>
          <w:highlight w:val="none"/>
        </w:rPr>
        <w:t>的规定提交履约保证金。成交人没有按照规定提交履约保证金的，视为放弃中标，其竞标保证金不予退还。</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15.3 签订合同后，如成交人不按双方签订的合同规定履约，则没收其全部履约保证金，履约保证金不足以赔偿损失的，按实际损失赔偿。</w:t>
      </w:r>
    </w:p>
    <w:p>
      <w:pPr>
        <w:spacing w:line="360" w:lineRule="exact"/>
        <w:ind w:firstLine="420" w:firstLineChars="200"/>
        <w:rPr>
          <w:rFonts w:ascii="宋体" w:hAnsi="宋体"/>
          <w:color w:val="auto"/>
          <w:szCs w:val="21"/>
          <w:highlight w:val="none"/>
        </w:rPr>
      </w:pPr>
      <w:r>
        <w:rPr>
          <w:rFonts w:hint="eastAsia" w:ascii="宋体" w:hAnsi="宋体"/>
          <w:color w:val="auto"/>
          <w:szCs w:val="21"/>
          <w:highlight w:val="none"/>
        </w:rPr>
        <w:t>15.4 履约保证金在成交供应商按合同约定履约完毕后，如乙方无任何违约违法行为的，由供应商按规定提出申请，甲方在10个工作日无息退还履约保证金。</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15.5 在履约保证金退还日期前，若成交人的开户名称、开户银行、帐号有变动的，请以书面形式通知原履约保证金收取单位，否则由此产生的后果由成交人自负。</w:t>
      </w:r>
    </w:p>
    <w:p>
      <w:pPr>
        <w:spacing w:line="360" w:lineRule="exact"/>
        <w:ind w:firstLine="422" w:firstLineChars="200"/>
        <w:rPr>
          <w:rFonts w:ascii="宋体" w:hAnsi="宋体"/>
          <w:b/>
          <w:color w:val="auto"/>
          <w:szCs w:val="21"/>
          <w:highlight w:val="none"/>
        </w:rPr>
      </w:pPr>
      <w:bookmarkStart w:id="31" w:name="_Toc7078_WPSOffice_Level2"/>
      <w:r>
        <w:rPr>
          <w:rFonts w:hint="eastAsia" w:ascii="宋体" w:hAnsi="宋体"/>
          <w:b/>
          <w:color w:val="auto"/>
          <w:szCs w:val="21"/>
          <w:highlight w:val="none"/>
        </w:rPr>
        <w:t>八、签订合同</w:t>
      </w:r>
      <w:bookmarkEnd w:id="31"/>
    </w:p>
    <w:p>
      <w:pPr>
        <w:spacing w:line="360" w:lineRule="exact"/>
        <w:ind w:left="420" w:leftChars="200"/>
        <w:rPr>
          <w:rFonts w:ascii="宋体" w:hAnsi="宋体"/>
          <w:color w:val="auto"/>
          <w:szCs w:val="21"/>
          <w:highlight w:val="none"/>
        </w:rPr>
      </w:pPr>
      <w:r>
        <w:rPr>
          <w:rFonts w:hint="eastAsia" w:ascii="宋体" w:hAnsi="宋体"/>
          <w:color w:val="auto"/>
          <w:szCs w:val="21"/>
          <w:highlight w:val="none"/>
        </w:rPr>
        <w:t>16.1成交供应商在收到成交通知书后，按规定与采购人签订采购合同。</w:t>
      </w:r>
    </w:p>
    <w:p>
      <w:pPr>
        <w:spacing w:line="360" w:lineRule="exact"/>
        <w:ind w:firstLine="420" w:firstLineChars="200"/>
        <w:rPr>
          <w:rFonts w:ascii="宋体" w:hAnsi="宋体"/>
          <w:b/>
          <w:color w:val="auto"/>
          <w:szCs w:val="21"/>
          <w:highlight w:val="none"/>
        </w:rPr>
      </w:pPr>
      <w:r>
        <w:rPr>
          <w:rFonts w:hint="eastAsia" w:ascii="宋体" w:hAnsi="宋体"/>
          <w:color w:val="auto"/>
          <w:szCs w:val="21"/>
          <w:highlight w:val="none"/>
        </w:rPr>
        <w:t>16.2</w:t>
      </w:r>
      <w:r>
        <w:rPr>
          <w:rFonts w:ascii="宋体" w:hAnsi="宋体"/>
          <w:color w:val="auto"/>
          <w:szCs w:val="21"/>
          <w:highlight w:val="none"/>
        </w:rPr>
        <w:t>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spacing w:line="360" w:lineRule="exact"/>
        <w:rPr>
          <w:rFonts w:ascii="宋体" w:hAnsi="宋体"/>
          <w:b/>
          <w:color w:val="auto"/>
          <w:szCs w:val="21"/>
          <w:highlight w:val="none"/>
        </w:rPr>
      </w:pPr>
    </w:p>
    <w:p>
      <w:pPr>
        <w:pStyle w:val="3"/>
        <w:rPr>
          <w:color w:val="auto"/>
          <w:highlight w:val="none"/>
        </w:rPr>
      </w:pPr>
      <w:bookmarkStart w:id="32" w:name="_Toc393040186"/>
    </w:p>
    <w:p>
      <w:pPr>
        <w:rPr>
          <w:color w:val="auto"/>
          <w:highlight w:val="none"/>
        </w:rPr>
      </w:pPr>
    </w:p>
    <w:p>
      <w:pPr>
        <w:pStyle w:val="3"/>
        <w:jc w:val="center"/>
        <w:rPr>
          <w:color w:val="auto"/>
          <w:highlight w:val="none"/>
        </w:rPr>
      </w:pPr>
    </w:p>
    <w:p>
      <w:pPr>
        <w:pStyle w:val="3"/>
        <w:jc w:val="center"/>
        <w:rPr>
          <w:color w:val="auto"/>
          <w:highlight w:val="none"/>
        </w:rPr>
      </w:pPr>
      <w:bookmarkStart w:id="33" w:name="_Toc7665"/>
      <w:bookmarkStart w:id="34" w:name="_Toc22179_WPSOffice_Level1"/>
      <w:r>
        <w:rPr>
          <w:rFonts w:hint="eastAsia"/>
          <w:color w:val="auto"/>
          <w:highlight w:val="none"/>
        </w:rPr>
        <w:t>第三章项目需求</w:t>
      </w:r>
      <w:bookmarkEnd w:id="32"/>
      <w:bookmarkEnd w:id="33"/>
      <w:bookmarkEnd w:id="34"/>
    </w:p>
    <w:p>
      <w:pPr>
        <w:spacing w:line="320" w:lineRule="exact"/>
        <w:jc w:val="left"/>
        <w:rPr>
          <w:rFonts w:ascii="宋体" w:hAnsi="宋体"/>
          <w:b/>
          <w:color w:val="auto"/>
          <w:szCs w:val="21"/>
          <w:highlight w:val="none"/>
        </w:rPr>
      </w:pPr>
      <w:r>
        <w:rPr>
          <w:rFonts w:hint="eastAsia" w:ascii="宋体" w:hAnsi="宋体"/>
          <w:b/>
          <w:color w:val="auto"/>
          <w:szCs w:val="21"/>
          <w:highlight w:val="none"/>
        </w:rPr>
        <w:t>说明：</w:t>
      </w:r>
    </w:p>
    <w:p>
      <w:pPr>
        <w:spacing w:line="320" w:lineRule="exact"/>
        <w:ind w:firstLine="424" w:firstLineChars="202"/>
        <w:jc w:val="left"/>
        <w:rPr>
          <w:rFonts w:ascii="宋体" w:hAnsi="宋体"/>
          <w:color w:val="auto"/>
          <w:szCs w:val="21"/>
          <w:highlight w:val="none"/>
        </w:rPr>
      </w:pPr>
      <w:r>
        <w:rPr>
          <w:rFonts w:hint="eastAsia" w:ascii="宋体" w:hAnsi="宋体"/>
          <w:color w:val="auto"/>
          <w:szCs w:val="21"/>
          <w:highlight w:val="none"/>
        </w:rPr>
        <w:t>1.供应商必须自行为其投标产品侵犯其他供应商或专利人的专利成果承担相应法律责任；同时，具有产品专利的供应商应在其响应文件中提供与其自有产品专利相关的有效证明材料，否则，不能就其产品的专利在本项目投标过程中被侵权问题提出异议。</w:t>
      </w:r>
    </w:p>
    <w:p>
      <w:pPr>
        <w:spacing w:line="320" w:lineRule="exact"/>
        <w:ind w:firstLine="426" w:firstLineChars="202"/>
        <w:jc w:val="left"/>
        <w:rPr>
          <w:rFonts w:ascii="宋体" w:hAnsi="宋体"/>
          <w:b/>
          <w:color w:val="auto"/>
          <w:szCs w:val="21"/>
          <w:highlight w:val="none"/>
        </w:rPr>
      </w:pPr>
      <w:r>
        <w:rPr>
          <w:rFonts w:hint="eastAsia" w:ascii="宋体" w:hAnsi="宋体"/>
          <w:b/>
          <w:color w:val="auto"/>
          <w:szCs w:val="21"/>
          <w:highlight w:val="none"/>
        </w:rPr>
        <w:t>2.下列服务需求说明书所列内容，打★实质性响应内容，供应商必须响应，否则竞标无效。</w:t>
      </w:r>
    </w:p>
    <w:tbl>
      <w:tblPr>
        <w:tblStyle w:val="49"/>
        <w:tblW w:w="95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993"/>
        <w:gridCol w:w="6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1134" w:type="dxa"/>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服务名称</w:t>
            </w:r>
          </w:p>
        </w:tc>
        <w:tc>
          <w:tcPr>
            <w:tcW w:w="993" w:type="dxa"/>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6790" w:type="dxa"/>
          </w:tcPr>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675"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4" w:type="dxa"/>
            <w:vAlign w:val="center"/>
          </w:tcPr>
          <w:p>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除四害综合治理-灭鼠</w:t>
            </w:r>
          </w:p>
        </w:tc>
        <w:tc>
          <w:tcPr>
            <w:tcW w:w="993"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会展中心红线范围</w:t>
            </w:r>
          </w:p>
        </w:tc>
        <w:tc>
          <w:tcPr>
            <w:tcW w:w="6790" w:type="dxa"/>
          </w:tcPr>
          <w:p>
            <w:pPr>
              <w:numPr>
                <w:ilvl w:val="0"/>
                <w:numId w:val="9"/>
              </w:numPr>
              <w:spacing w:line="360" w:lineRule="exact"/>
              <w:rPr>
                <w:rFonts w:ascii="宋体" w:hAnsi="宋体" w:cs="宋体"/>
                <w:color w:val="auto"/>
                <w:szCs w:val="21"/>
                <w:highlight w:val="none"/>
              </w:rPr>
            </w:pPr>
            <w:r>
              <w:rPr>
                <w:rFonts w:hint="eastAsia" w:ascii="宋体" w:hAnsi="宋体" w:cs="宋体"/>
                <w:color w:val="auto"/>
                <w:szCs w:val="21"/>
                <w:highlight w:val="none"/>
              </w:rPr>
              <w:t>项目情况：</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1.执行全国爱国卫生运动委员会颁发的（1997）第5号文件规定的鼠、蚊、蝇、蟑螂控制标准：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（1）服务范围：</w:t>
            </w:r>
            <w:r>
              <w:rPr>
                <w:rFonts w:hint="eastAsia" w:ascii="宋体" w:hAnsi="宋体"/>
                <w:color w:val="auto"/>
                <w:szCs w:val="21"/>
                <w:highlight w:val="none"/>
              </w:rPr>
              <w:t>会展中心红线范围内的</w:t>
            </w:r>
            <w:r>
              <w:rPr>
                <w:rFonts w:hint="eastAsia" w:ascii="宋体" w:hAnsi="宋体"/>
                <w:color w:val="auto"/>
                <w:szCs w:val="21"/>
                <w:highlight w:val="none"/>
                <w:lang w:eastAsia="zh-CN"/>
              </w:rPr>
              <w:t>所有建筑及室外区域</w:t>
            </w:r>
            <w:r>
              <w:rPr>
                <w:rFonts w:hint="eastAsia" w:ascii="宋体" w:hAnsi="宋体" w:cs="宋体"/>
                <w:color w:val="auto"/>
                <w:szCs w:val="21"/>
                <w:highlight w:val="none"/>
              </w:rPr>
              <w:t>。重点消杀区域：各区主建筑、各办公区、垃圾池、设备区域、球馆、地下停车场、A区商业区。</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★（2）15平方米标准房间布放20×20厘米滑石粉两块，一夜后阳性粉块不超过3%。</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★（3）有鼠洞、鼠粪、鼠咬痕等鼠迹的房间不超过2%；重点单位防鼠设施不合格不超过5%。</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★（4）不同类型的外环境累计2000米，鼠迹不超过5处。</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★（5）消杀服务次数：常规区域每月至少进行2次，A区商业区每月至少进行3次。</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（6）使用产品要求：必须无放射性、无二次污染、对人体无害。</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（7）成交人进场后提供消杀使用药物的名单，不可使用鸟类当做食物的药物（如谷子等），如更换药物须在使用前将药物名单提交给采购人。</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（8）在会展中心红线范围内合理布置鼠盒，并做好安全警示标识。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75" w:type="dxa"/>
            <w:vAlign w:val="center"/>
          </w:tcPr>
          <w:p>
            <w:pPr>
              <w:spacing w:line="36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2</w:t>
            </w:r>
          </w:p>
        </w:tc>
        <w:tc>
          <w:tcPr>
            <w:tcW w:w="1134" w:type="dxa"/>
            <w:vAlign w:val="center"/>
          </w:tcPr>
          <w:p>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除四害综合治理-灭蟑螂</w:t>
            </w:r>
          </w:p>
        </w:tc>
        <w:tc>
          <w:tcPr>
            <w:tcW w:w="993"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会展中心红线范围</w:t>
            </w:r>
          </w:p>
        </w:tc>
        <w:tc>
          <w:tcPr>
            <w:tcW w:w="6790" w:type="dxa"/>
          </w:tcPr>
          <w:p>
            <w:pPr>
              <w:spacing w:line="360" w:lineRule="exact"/>
              <w:rPr>
                <w:rFonts w:ascii="宋体" w:hAnsi="宋体" w:cs="宋体"/>
                <w:color w:val="auto"/>
                <w:szCs w:val="21"/>
                <w:highlight w:val="none"/>
              </w:rPr>
            </w:pPr>
            <w:r>
              <w:rPr>
                <w:rFonts w:hint="eastAsia" w:ascii="宋体" w:hAnsi="宋体" w:cs="宋体"/>
                <w:color w:val="auto"/>
                <w:szCs w:val="21"/>
                <w:highlight w:val="none"/>
              </w:rPr>
              <w:t>2.执行全国爱国卫生运动委员会颁发的（1997）第5号文件规定的鼠、蚊、蝇、蟑螂控制标准：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（1）服务范围：</w:t>
            </w:r>
            <w:r>
              <w:rPr>
                <w:rFonts w:hint="eastAsia" w:ascii="宋体" w:hAnsi="宋体"/>
                <w:color w:val="auto"/>
                <w:szCs w:val="21"/>
                <w:highlight w:val="none"/>
              </w:rPr>
              <w:t>会展中心红线范围内的</w:t>
            </w:r>
            <w:r>
              <w:rPr>
                <w:rFonts w:hint="eastAsia" w:ascii="宋体" w:hAnsi="宋体"/>
                <w:color w:val="auto"/>
                <w:szCs w:val="21"/>
                <w:highlight w:val="none"/>
                <w:lang w:eastAsia="zh-CN"/>
              </w:rPr>
              <w:t>所有建筑及室外区域</w:t>
            </w:r>
            <w:r>
              <w:rPr>
                <w:rFonts w:hint="eastAsia" w:ascii="宋体" w:hAnsi="宋体" w:cs="宋体"/>
                <w:color w:val="auto"/>
                <w:szCs w:val="21"/>
                <w:highlight w:val="none"/>
              </w:rPr>
              <w:t>。重点消杀区域：各办公区、B区贵宾室及会议室、B区新闻中心、垃圾池、地下停车场、A区商业区、各区域排水沟及雨水井、D区会议中心及朱槿厅。</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★（2）室内有蟑螂成虫或若虫阳性房间不超过3%，平均每间房大蠊不超过5只，小蠊不超过10只。</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★（3）有活蟑螂卵鞘房间不超过2%，平均每间房不超过4只。</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★（4）有蟑螂粪便、蜕皮等蟑迹的房间不超过5%。</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★（5）消杀服务次数：常规区域每月至少进行1次，A区商业区至少进行2次。</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（6）使用产品要求：必须无放射性、无二次污染、无明显异味、对人体无害。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675" w:type="dxa"/>
            <w:vAlign w:val="center"/>
          </w:tcPr>
          <w:p>
            <w:pPr>
              <w:spacing w:line="36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3</w:t>
            </w:r>
          </w:p>
        </w:tc>
        <w:tc>
          <w:tcPr>
            <w:tcW w:w="1134" w:type="dxa"/>
            <w:vAlign w:val="center"/>
          </w:tcPr>
          <w:p>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除四害综合治理-</w:t>
            </w:r>
            <w:r>
              <w:rPr>
                <w:rFonts w:hint="eastAsia" w:ascii="宋体" w:hAnsi="宋体" w:cs="宋体"/>
                <w:color w:val="auto"/>
                <w:szCs w:val="21"/>
                <w:highlight w:val="none"/>
              </w:rPr>
              <w:t>灭蝇</w:t>
            </w:r>
          </w:p>
        </w:tc>
        <w:tc>
          <w:tcPr>
            <w:tcW w:w="993"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会展中心红线范围</w:t>
            </w:r>
          </w:p>
        </w:tc>
        <w:tc>
          <w:tcPr>
            <w:tcW w:w="6790" w:type="dxa"/>
          </w:tcPr>
          <w:p>
            <w:pPr>
              <w:spacing w:line="360" w:lineRule="exact"/>
              <w:rPr>
                <w:rFonts w:ascii="宋体" w:hAnsi="宋体" w:cs="宋体"/>
                <w:color w:val="auto"/>
                <w:szCs w:val="21"/>
                <w:highlight w:val="none"/>
              </w:rPr>
            </w:pPr>
            <w:r>
              <w:rPr>
                <w:rFonts w:hint="eastAsia" w:ascii="宋体" w:hAnsi="宋体" w:cs="宋体"/>
                <w:color w:val="auto"/>
                <w:szCs w:val="21"/>
                <w:highlight w:val="none"/>
              </w:rPr>
              <w:t>3.执行全国爱国卫生运动委员会颁发的（1997）第5号文件规定的鼠、蚊、蝇、蟑螂控制标准：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（1）服务范围：</w:t>
            </w:r>
            <w:r>
              <w:rPr>
                <w:rFonts w:hint="eastAsia" w:ascii="宋体" w:hAnsi="宋体"/>
                <w:color w:val="auto"/>
                <w:szCs w:val="21"/>
                <w:highlight w:val="none"/>
              </w:rPr>
              <w:t>会展中心红线范围内的</w:t>
            </w:r>
            <w:r>
              <w:rPr>
                <w:rFonts w:hint="eastAsia" w:ascii="宋体" w:hAnsi="宋体"/>
                <w:color w:val="auto"/>
                <w:szCs w:val="21"/>
                <w:highlight w:val="none"/>
                <w:lang w:eastAsia="zh-CN"/>
              </w:rPr>
              <w:t>所有建筑及室外区域</w:t>
            </w:r>
            <w:r>
              <w:rPr>
                <w:rFonts w:hint="eastAsia" w:ascii="宋体" w:hAnsi="宋体" w:cs="宋体"/>
                <w:color w:val="auto"/>
                <w:szCs w:val="21"/>
                <w:highlight w:val="none"/>
              </w:rPr>
              <w:t>。重点消杀区域：D区会议中心及朱槿厅、各办公区、B区贵宾室及会议室、垃圾池、地下停车场、A区商业区、各区域排水沟及雨水井、A区和B区周边绿化带。</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★（2）重点单位有蝇房间不超过1%，其他单位不超过3%，平均每阳性房间不超过3只；重点单位防蝇设施不合格房间不超过5%；加工、销售直接入口食品的场所不得有蝇。</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★（3）蝇类滋生地得到有效治理，幼虫和蛹的检查不超过3%。</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★（4）消杀服务次数：常规区域每月至少进行1次，夏季（即每年5月1日至10月31日）每月至少进行2次，A区商业区视密度情况增加次数。</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（5）使用产品要求：必须无放射性、无二次污染、无明显异味、对人体无害。</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（6）办公区域蝇消杀必须是下午办公时间结束后或周末进行作业，A区商业区必须是门店晚上停止营业后方可作业。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spacing w:line="36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4</w:t>
            </w:r>
          </w:p>
        </w:tc>
        <w:tc>
          <w:tcPr>
            <w:tcW w:w="1134" w:type="dxa"/>
            <w:vAlign w:val="center"/>
          </w:tcPr>
          <w:p>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除四害综合治理-</w:t>
            </w:r>
            <w:r>
              <w:rPr>
                <w:rFonts w:hint="eastAsia" w:ascii="宋体" w:hAnsi="宋体" w:cs="宋体"/>
                <w:color w:val="auto"/>
                <w:szCs w:val="21"/>
                <w:highlight w:val="none"/>
              </w:rPr>
              <w:t>灭蚊</w:t>
            </w:r>
          </w:p>
        </w:tc>
        <w:tc>
          <w:tcPr>
            <w:tcW w:w="993"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会展中心红线范围</w:t>
            </w:r>
          </w:p>
        </w:tc>
        <w:tc>
          <w:tcPr>
            <w:tcW w:w="6790" w:type="dxa"/>
          </w:tcPr>
          <w:p>
            <w:pPr>
              <w:spacing w:line="360" w:lineRule="exact"/>
              <w:rPr>
                <w:rFonts w:ascii="宋体" w:hAnsi="宋体" w:cs="宋体"/>
                <w:color w:val="auto"/>
                <w:szCs w:val="21"/>
                <w:highlight w:val="none"/>
              </w:rPr>
            </w:pPr>
            <w:r>
              <w:rPr>
                <w:rFonts w:hint="eastAsia" w:ascii="宋体" w:hAnsi="宋体" w:cs="宋体"/>
                <w:color w:val="auto"/>
                <w:szCs w:val="21"/>
                <w:highlight w:val="none"/>
              </w:rPr>
              <w:t>4.执行全国爱国卫生运动委员会颁发的（1997）第5号文件规定的鼠、蚊、蝇、蟑螂控制标准：</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（1）服务范围：</w:t>
            </w:r>
            <w:r>
              <w:rPr>
                <w:rFonts w:hint="eastAsia" w:ascii="宋体" w:hAnsi="宋体"/>
                <w:color w:val="auto"/>
                <w:szCs w:val="21"/>
                <w:highlight w:val="none"/>
              </w:rPr>
              <w:t>会展中心红线范围内的</w:t>
            </w:r>
            <w:r>
              <w:rPr>
                <w:rFonts w:hint="eastAsia" w:ascii="宋体" w:hAnsi="宋体"/>
                <w:color w:val="auto"/>
                <w:szCs w:val="21"/>
                <w:highlight w:val="none"/>
                <w:lang w:eastAsia="zh-CN"/>
              </w:rPr>
              <w:t>所有建筑及室外区域</w:t>
            </w:r>
            <w:r>
              <w:rPr>
                <w:rFonts w:hint="eastAsia" w:ascii="宋体" w:hAnsi="宋体" w:cs="宋体"/>
                <w:color w:val="auto"/>
                <w:szCs w:val="21"/>
                <w:highlight w:val="none"/>
              </w:rPr>
              <w:t>。重点消杀区域：D区会议中心及朱槿厅、各办公区、B区贵宾室及会议室、垃圾池、地下停车场、A区商业区、各区域排水沟及雨水井、A区和B区周边绿化带。</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★（2）居民住宅、单位内环境各种存水容器和积水中，蚊幼及蛹的阳性率不超过3%。</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★（3）用500毫升收集匀采集城区内大中型水体中的蚊幼或用阳性率不超过3%，阳性匀内幼虫或蛹的平均数不超过5只。</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★（4）特殊场所白天人诱蚊30分钟，平均每人次诱获成蚊数不超过1只。</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★（5）消杀服务次数：常规区域每月至少进行1次，夏季（即每年5月1日至10月31日）蚊虫繁殖期每月须进行2至3次，A区商业区视密度情况增加次数。</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（6）采购人蓄水池投放有效长期的灭蚊药物。使用产品要求：必须无放射性、无二次污染、无明显异味、对人体无害。</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★（7）采购人需要在室内安装灭蚊器的（30台内），服务商自行安装灭蚊器，每次消杀作业检查维护并负责清理，采购人不额外支付灭蚊器与维护费用，采购人提供安装电源。</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（8）办公区域蚊消杀必须是下午办公时间结束后或周末进行作业，A区商业区必须是门店晚上停止营业后方可作业。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务</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条</w:t>
            </w: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款</w:t>
            </w:r>
          </w:p>
        </w:tc>
        <w:tc>
          <w:tcPr>
            <w:tcW w:w="8917" w:type="dxa"/>
            <w:gridSpan w:val="3"/>
          </w:tcPr>
          <w:p>
            <w:pPr>
              <w:shd w:val="clear" w:color="auto" w:fill="FFFFFF"/>
              <w:spacing w:line="360" w:lineRule="exact"/>
              <w:rPr>
                <w:rFonts w:ascii="宋体" w:hAnsi="宋体" w:cs="宋体"/>
                <w:color w:val="auto"/>
                <w:szCs w:val="21"/>
                <w:highlight w:val="none"/>
                <w:u w:val="single"/>
              </w:rPr>
            </w:pPr>
            <w:r>
              <w:rPr>
                <w:rFonts w:hint="eastAsia" w:ascii="宋体" w:hAnsi="宋体" w:cs="宋体"/>
                <w:b/>
                <w:color w:val="auto"/>
                <w:szCs w:val="21"/>
                <w:highlight w:val="none"/>
              </w:rPr>
              <w:t>一、合同签订期：</w:t>
            </w:r>
            <w:r>
              <w:rPr>
                <w:rFonts w:hint="eastAsia" w:ascii="宋体" w:hAnsi="宋体" w:cs="宋体"/>
                <w:color w:val="auto"/>
                <w:szCs w:val="21"/>
                <w:highlight w:val="none"/>
                <w:u w:val="single"/>
              </w:rPr>
              <w:t>自成交通知书发出之日起 5个工作日内</w:t>
            </w:r>
          </w:p>
          <w:p>
            <w:pPr>
              <w:shd w:val="clear" w:color="auto" w:fill="FFFFFF"/>
              <w:spacing w:line="360" w:lineRule="exact"/>
              <w:rPr>
                <w:rFonts w:ascii="宋体" w:hAnsi="宋体" w:cs="宋体"/>
                <w:color w:val="auto"/>
                <w:szCs w:val="21"/>
                <w:highlight w:val="none"/>
                <w:u w:val="single"/>
              </w:rPr>
            </w:pPr>
            <w:r>
              <w:rPr>
                <w:rFonts w:hint="eastAsia" w:ascii="宋体" w:hAnsi="宋体" w:cs="宋体"/>
                <w:b/>
                <w:color w:val="auto"/>
                <w:szCs w:val="21"/>
                <w:highlight w:val="none"/>
              </w:rPr>
              <w:t>二、提交服务成果时间：</w:t>
            </w:r>
            <w:r>
              <w:rPr>
                <w:rFonts w:hint="eastAsia" w:ascii="宋体" w:hAnsi="宋体" w:cs="宋体"/>
                <w:bCs/>
                <w:color w:val="auto"/>
                <w:szCs w:val="21"/>
                <w:highlight w:val="none"/>
                <w:u w:val="single"/>
              </w:rPr>
              <w:t>服务时间</w:t>
            </w:r>
            <w:r>
              <w:rPr>
                <w:rFonts w:hint="eastAsia" w:ascii="宋体" w:hAnsi="宋体" w:cs="宋体"/>
                <w:color w:val="auto"/>
                <w:szCs w:val="21"/>
                <w:highlight w:val="none"/>
                <w:u w:val="single"/>
              </w:rPr>
              <w:t>为2020年7月1日-2021年6月30日。</w:t>
            </w:r>
          </w:p>
          <w:p>
            <w:pPr>
              <w:spacing w:line="360" w:lineRule="exact"/>
              <w:rPr>
                <w:rFonts w:ascii="宋体" w:hAnsi="宋体" w:cs="宋体"/>
                <w:color w:val="auto"/>
                <w:szCs w:val="21"/>
                <w:highlight w:val="none"/>
                <w:u w:val="single"/>
              </w:rPr>
            </w:pPr>
            <w:r>
              <w:rPr>
                <w:rFonts w:hint="eastAsia" w:ascii="宋体" w:hAnsi="宋体" w:cs="宋体"/>
                <w:b/>
                <w:color w:val="auto"/>
                <w:szCs w:val="21"/>
                <w:highlight w:val="none"/>
              </w:rPr>
              <w:t>三、提交服务成果地点：</w:t>
            </w:r>
            <w:r>
              <w:rPr>
                <w:rFonts w:hint="eastAsia" w:ascii="宋体" w:hAnsi="宋体" w:cs="宋体"/>
                <w:color w:val="auto"/>
                <w:szCs w:val="21"/>
                <w:highlight w:val="none"/>
                <w:u w:val="single"/>
              </w:rPr>
              <w:t>南宁国际会展中心</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四、售后服务要求：</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1.质量保证期：与提交服务成果时间相同。</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2.处理问题响应时间：接到采购人处理问题通知后</w:t>
            </w:r>
            <w:r>
              <w:rPr>
                <w:rFonts w:hint="eastAsia" w:ascii="宋体" w:hAnsi="宋体" w:cs="宋体"/>
                <w:color w:val="auto"/>
                <w:szCs w:val="21"/>
                <w:highlight w:val="none"/>
                <w:u w:val="single"/>
              </w:rPr>
              <w:t xml:space="preserve"> </w:t>
            </w:r>
            <w:r>
              <w:rPr>
                <w:rFonts w:hint="eastAsia" w:ascii="宋体" w:hAnsi="宋体" w:cs="宋体"/>
                <w:b/>
                <w:color w:val="auto"/>
                <w:szCs w:val="21"/>
                <w:highlight w:val="none"/>
                <w:u w:val="single"/>
              </w:rPr>
              <w:t xml:space="preserve"> 2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小时内到达采购人指定现场。</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为保障第十七届中国—东盟博览会等重要展会活动期间杀灭“四害”密度达标，成交人需在重大展会活动开幕式前30日制定消杀工作计划，并上报采购人审批同意后组织安排集中灭杀四害。全部工作要在中国—东盟博览会开幕前2天或重大活动前1天内完成，确保灭杀四害达标。</w:t>
            </w:r>
          </w:p>
          <w:p>
            <w:pPr>
              <w:spacing w:line="360" w:lineRule="exact"/>
              <w:ind w:right="-141" w:rightChars="-67"/>
              <w:rPr>
                <w:rFonts w:ascii="宋体" w:hAnsi="宋体" w:cs="宋体"/>
                <w:color w:val="auto"/>
                <w:szCs w:val="21"/>
                <w:highlight w:val="none"/>
              </w:rPr>
            </w:pPr>
            <w:r>
              <w:rPr>
                <w:rFonts w:hint="eastAsia" w:ascii="宋体" w:hAnsi="宋体" w:cs="宋体"/>
                <w:color w:val="auto"/>
                <w:szCs w:val="21"/>
                <w:highlight w:val="none"/>
              </w:rPr>
              <w:t>★4.在中国—东盟博览会期间成交人提供不少于</w:t>
            </w:r>
            <w:r>
              <w:rPr>
                <w:rFonts w:hint="eastAsia" w:ascii="宋体" w:hAnsi="宋体" w:cs="宋体"/>
                <w:b/>
                <w:color w:val="auto"/>
                <w:szCs w:val="21"/>
                <w:highlight w:val="none"/>
              </w:rPr>
              <w:t>5</w:t>
            </w:r>
            <w:r>
              <w:rPr>
                <w:rFonts w:hint="eastAsia" w:ascii="宋体" w:hAnsi="宋体" w:cs="宋体"/>
                <w:color w:val="auto"/>
                <w:szCs w:val="21"/>
                <w:highlight w:val="none"/>
              </w:rPr>
              <w:t>名工作人员现场保全，保证会议厅（室）、贵宾接待室无异味，没有成蝇、成蚊飞行和老鼠、蟑螂爬行，卫生虫害综合治理区域严格控制在国家标准范围内。</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5.采购人指定的重点区域，成交人需加大灭前灭后密度调查及消杀力度。</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6.成交人指定一位管理人员与采购人进行业务联系，在进场后一个月内熟悉所有场地、业务和工作要求，并且摸清“四害”的活动规律，提交全年的除四害消杀方案，有针对性的进行灭杀。</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★7.经治理后，在服务期范围内的虫害密度控制在国家标准范围内。应根据季节特性、日常观察“四害”活动规律调整消杀工作开展时间、消杀工作方式和更换消杀药物以及增加消杀次数。</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8.在实施消杀工作前，成交人按照工作计划表的前一天应向采购人发出灭害的警示通知，并提供消杀使用药物的名单，物业管理部负责通知公司各部室及租户。</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9.成交人必须对消杀人员进行上岗前培训，培训合格人员方能上岗操作，如有更换工作人员，应及时通知采购人，培训结果以书面方式报送采购人留存。</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10.服务期间做好灭前灭后密度调查，并以书面形式每月5日前向采购人通报。建立系统消杀资料档案，签字盖章后于履约期满后交采购人收存。根据采购人展会排期合理制定下月工作计划表，并于每月5号前提交给采购人，如采购人需要改变作业时间的，按采购人的要求执行。</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★11.因消杀工作的特殊性，成交人必须做好防护措施，确保实施消杀工作人员的人身安全及消杀设施的正常安全使用。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12.四项消杀工作在同一天内全面开展实施，为了便于采购人跟进消杀工作，一般分为上午完成其中两个消杀项目工作，下午完成另外两个消杀项目工作。</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13.竞标文件中提供消杀药品有效的农药登记证或农药临时登记证、农药生产许可证或农药生产批准文件、产品质量标准或产品质量合格证或农药执行标准备案登记证的复印件（加盖单位公章）。</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14.及时处理消杀垃圾，不能造成二次污染，保证环境卫生整洁。</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15.消杀工作人员必须遵守采购人的规章制度，统一着装、文明施工，并应在不影响采购人正常工作的情况下进行施工。</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16.消杀工作期间不得损坏采购人物品，如有损坏，须赔偿采购人损失。</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★17.应积极配合采购人完成开展的各项爱国卫生运动的临检工作，如需增加消杀工作时，接到采购人通知立即开展工作，否则所造成的后果由成交人负责，增加消杀工作的费用包含在合同金额中。</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18.如不能按时完成消杀服务工作，采购人另行找其他单位完成的，所造成的损失由成交人负责。出现此类情况时成交人除承担上述全部费用外，采购人将对成交人实以经济处罚，第一次罚款1000元，第二次2000元，第三次3000元，同时采购人建议取消成交人参加我集团公司采购活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19.成交人需提交施工服务人员花名册及身份证复印件到采购人处审核备案，每次施工前按工作方案或者工作计划到采购人处办理临时施工证后方可进场施工。</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20.成交人遵循采购人现行ISO9001：2008质量标准认证体系，服从采购人现场规范管理，遵守采购人“灭四害”消杀单位管理程序和采购人《外包方管理程序》，根据采购人要求提供合格的服务，并按时提供成果报告及进度表。</w:t>
            </w:r>
          </w:p>
          <w:p>
            <w:pPr>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五、对合同条款的调整</w:t>
            </w:r>
          </w:p>
          <w:p>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成交人未按照采购人管理规定和合同要求的，采购人将依据违约情况对成交人给予相应的处理措施：</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1.每次消杀不统一工作服的，每人每次处罚50元。</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2.超出服务响应时间二十四个小时，每次处罚200元。</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3.采购人布置工作未完成的，每次每项处罚200元。</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4.未按时提交工作计划表、工作总结及灭前灭后调查表的，每次每项处罚200元。</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5.每次消杀前一天未发出警示通知直接作业的，每次处罚300元。</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6.未提交使用药物名单的，处罚500元，违规使用药物的，每次处罚500元。</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7.不及时清理消杀垃圾，每处处罚50元。</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8.未达到合同各项目消杀次数的，每个项目缺少1次处罚2000元。</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9.损坏采购人物品的，成交人按造价赔偿或者恢复。</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10.调查评估未达到消杀效果的，每次每项处罚500元。</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11.采购人每月灭四害评分表总评分低于80分的，处罚1000元。累计3次以上低于80分的，采购人有权取消合同，造成的损失由成交人自行承担。</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六、其他要求：</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1.报价包含以下部分：</w:t>
            </w:r>
          </w:p>
          <w:p>
            <w:pPr>
              <w:tabs>
                <w:tab w:val="left" w:pos="360"/>
              </w:tabs>
              <w:spacing w:line="360" w:lineRule="exact"/>
              <w:rPr>
                <w:rFonts w:ascii="宋体" w:hAnsi="宋体" w:cs="宋体"/>
                <w:color w:val="auto"/>
                <w:szCs w:val="21"/>
                <w:highlight w:val="none"/>
              </w:rPr>
            </w:pPr>
            <w:r>
              <w:rPr>
                <w:rFonts w:hint="eastAsia" w:ascii="宋体" w:hAnsi="宋体" w:cs="宋体"/>
                <w:color w:val="auto"/>
                <w:szCs w:val="21"/>
                <w:highlight w:val="none"/>
              </w:rPr>
              <w:t>（1）服务的价格；</w:t>
            </w:r>
          </w:p>
          <w:p>
            <w:pPr>
              <w:tabs>
                <w:tab w:val="left" w:pos="360"/>
              </w:tabs>
              <w:spacing w:line="360" w:lineRule="exact"/>
              <w:rPr>
                <w:rFonts w:ascii="宋体" w:hAnsi="宋体" w:cs="宋体"/>
                <w:color w:val="auto"/>
                <w:szCs w:val="21"/>
                <w:highlight w:val="none"/>
              </w:rPr>
            </w:pPr>
            <w:r>
              <w:rPr>
                <w:rFonts w:hint="eastAsia" w:ascii="宋体" w:hAnsi="宋体" w:cs="宋体"/>
                <w:color w:val="auto"/>
                <w:szCs w:val="21"/>
                <w:highlight w:val="none"/>
              </w:rPr>
              <w:t>（2）必要的保险费用和各项税金；</w:t>
            </w:r>
          </w:p>
          <w:p>
            <w:pPr>
              <w:tabs>
                <w:tab w:val="left" w:pos="0"/>
                <w:tab w:val="left" w:pos="360"/>
              </w:tabs>
              <w:spacing w:line="360" w:lineRule="exact"/>
              <w:rPr>
                <w:rFonts w:ascii="宋体" w:hAnsi="宋体" w:cs="宋体"/>
                <w:color w:val="auto"/>
                <w:szCs w:val="21"/>
                <w:highlight w:val="none"/>
              </w:rPr>
            </w:pPr>
            <w:r>
              <w:rPr>
                <w:rFonts w:hint="eastAsia" w:ascii="宋体" w:hAnsi="宋体" w:cs="宋体"/>
                <w:color w:val="auto"/>
                <w:szCs w:val="21"/>
                <w:highlight w:val="none"/>
              </w:rPr>
              <w:t>（3）人工工资、加班费、交通费、行政费用及培训费；</w:t>
            </w:r>
          </w:p>
          <w:p>
            <w:pPr>
              <w:tabs>
                <w:tab w:val="left" w:pos="0"/>
                <w:tab w:val="left" w:pos="360"/>
              </w:tabs>
              <w:spacing w:line="360" w:lineRule="exact"/>
              <w:rPr>
                <w:rFonts w:ascii="宋体" w:hAnsi="宋体" w:cs="宋体"/>
                <w:color w:val="auto"/>
                <w:szCs w:val="21"/>
                <w:highlight w:val="none"/>
              </w:rPr>
            </w:pPr>
            <w:r>
              <w:rPr>
                <w:rFonts w:hint="eastAsia" w:ascii="宋体" w:hAnsi="宋体" w:cs="宋体"/>
                <w:color w:val="auto"/>
                <w:szCs w:val="21"/>
                <w:highlight w:val="none"/>
              </w:rPr>
              <w:t>（4）设备费用、药物费用等费用。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2.付款方式：本项目无预付款，服务商所提交服务经采购人验收合格并提供合格有效发票，采购人每半年付一次款，分二次付清合同款,按实际服务时间结算。</w:t>
            </w:r>
          </w:p>
          <w:p>
            <w:pPr>
              <w:spacing w:line="360" w:lineRule="exact"/>
              <w:jc w:val="center"/>
              <w:rPr>
                <w:rFonts w:ascii="宋体" w:hAnsi="宋体" w:cs="宋体"/>
                <w:b/>
                <w:color w:val="auto"/>
                <w:szCs w:val="21"/>
                <w:highlight w:val="none"/>
              </w:rPr>
            </w:pPr>
          </w:p>
          <w:p>
            <w:pPr>
              <w:spacing w:line="360" w:lineRule="exact"/>
              <w:jc w:val="center"/>
              <w:rPr>
                <w:rFonts w:ascii="宋体" w:hAnsi="宋体" w:cs="宋体"/>
                <w:b/>
                <w:color w:val="auto"/>
                <w:szCs w:val="21"/>
                <w:highlight w:val="none"/>
              </w:rPr>
            </w:pPr>
          </w:p>
          <w:p>
            <w:pPr>
              <w:spacing w:line="360" w:lineRule="exact"/>
              <w:jc w:val="center"/>
              <w:rPr>
                <w:rFonts w:ascii="宋体" w:hAnsi="宋体" w:cs="宋体"/>
                <w:b/>
                <w:color w:val="auto"/>
                <w:szCs w:val="21"/>
                <w:highlight w:val="none"/>
              </w:rPr>
            </w:pPr>
          </w:p>
          <w:p>
            <w:pPr>
              <w:spacing w:line="360" w:lineRule="exact"/>
              <w:jc w:val="center"/>
              <w:rPr>
                <w:rFonts w:ascii="宋体" w:hAnsi="宋体" w:cs="宋体"/>
                <w:b/>
                <w:color w:val="auto"/>
                <w:szCs w:val="21"/>
                <w:highlight w:val="none"/>
              </w:rPr>
            </w:pPr>
          </w:p>
          <w:p>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“灭四害”消杀单位管理程序</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1.目的</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为规范“灭四害”消杀单位日常服务管理，提高展会、办公环境卫生，减少疾病传播，制定本程序。</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2.适用范围</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适用于南宁国际会展中心红线范围内区域。 </w:t>
            </w: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3.职责</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流程负责人：物业管理部副部长</w:t>
            </w:r>
          </w:p>
          <w:p>
            <w:pPr>
              <w:numPr>
                <w:ilvl w:val="0"/>
                <w:numId w:val="10"/>
              </w:numPr>
              <w:spacing w:line="360" w:lineRule="exact"/>
              <w:rPr>
                <w:rFonts w:ascii="宋体" w:hAnsi="宋体" w:cs="宋体"/>
                <w:b/>
                <w:color w:val="auto"/>
                <w:szCs w:val="21"/>
                <w:highlight w:val="none"/>
              </w:rPr>
            </w:pPr>
            <w:r>
              <w:rPr>
                <w:rFonts w:hint="eastAsia" w:ascii="宋体" w:hAnsi="宋体" w:cs="宋体"/>
                <w:b/>
                <w:color w:val="auto"/>
                <w:szCs w:val="21"/>
                <w:highlight w:val="none"/>
              </w:rPr>
              <w:t>定义</w:t>
            </w:r>
          </w:p>
          <w:p>
            <w:pPr>
              <w:spacing w:line="360" w:lineRule="exact"/>
              <w:rPr>
                <w:rFonts w:ascii="宋体" w:hAnsi="宋体" w:cs="宋体"/>
                <w:b/>
                <w:color w:val="auto"/>
                <w:szCs w:val="21"/>
                <w:highlight w:val="none"/>
              </w:rPr>
            </w:pP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5.特殊情况说明</w:t>
            </w:r>
          </w:p>
          <w:p>
            <w:pPr>
              <w:spacing w:line="360" w:lineRule="exact"/>
              <w:rPr>
                <w:rFonts w:ascii="宋体" w:hAnsi="宋体" w:cs="宋体"/>
                <w:b/>
                <w:color w:val="auto"/>
                <w:szCs w:val="21"/>
                <w:highlight w:val="none"/>
              </w:rPr>
            </w:pPr>
          </w:p>
          <w:p>
            <w:pPr>
              <w:spacing w:line="360" w:lineRule="exact"/>
              <w:rPr>
                <w:rFonts w:ascii="宋体" w:hAnsi="宋体" w:cs="宋体"/>
                <w:b/>
                <w:color w:val="auto"/>
                <w:szCs w:val="21"/>
                <w:highlight w:val="none"/>
              </w:rPr>
            </w:pPr>
            <w:r>
              <w:rPr>
                <w:rFonts w:hint="eastAsia" w:ascii="宋体" w:hAnsi="宋体" w:cs="宋体"/>
                <w:b/>
                <w:color w:val="auto"/>
                <w:szCs w:val="21"/>
                <w:highlight w:val="none"/>
              </w:rPr>
              <w:t>6.工作程序</w:t>
            </w:r>
          </w:p>
          <w:p>
            <w:pPr>
              <w:spacing w:line="360" w:lineRule="exact"/>
              <w:rPr>
                <w:rFonts w:ascii="宋体" w:hAnsi="宋体" w:cs="宋体"/>
                <w:b/>
                <w:color w:val="auto"/>
                <w:szCs w:val="21"/>
                <w:highlight w:val="none"/>
              </w:rPr>
            </w:pPr>
          </w:p>
          <w:tbl>
            <w:tblPr>
              <w:tblStyle w:val="49"/>
              <w:tblW w:w="76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9"/>
              <w:gridCol w:w="709"/>
              <w:gridCol w:w="851"/>
              <w:gridCol w:w="340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72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b/>
                      <w:color w:val="auto"/>
                      <w:szCs w:val="21"/>
                      <w:highlight w:val="none"/>
                    </w:rPr>
                  </w:pPr>
                  <w:r>
                    <w:rPr>
                      <w:rFonts w:hint="eastAsia" w:ascii="宋体" w:hAnsi="宋体" w:cs="宋体"/>
                      <w:b/>
                      <w:color w:val="auto"/>
                      <w:szCs w:val="21"/>
                      <w:highlight w:val="none"/>
                    </w:rPr>
                    <w:t>流程图</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b/>
                      <w:color w:val="auto"/>
                      <w:szCs w:val="21"/>
                      <w:highlight w:val="none"/>
                    </w:rPr>
                  </w:pPr>
                  <w:r>
                    <w:rPr>
                      <w:rFonts w:hint="eastAsia" w:ascii="宋体" w:hAnsi="宋体" w:cs="宋体"/>
                      <w:b/>
                      <w:color w:val="auto"/>
                      <w:szCs w:val="21"/>
                      <w:highlight w:val="none"/>
                    </w:rPr>
                    <w:t>责任人</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b/>
                      <w:color w:val="auto"/>
                      <w:szCs w:val="21"/>
                      <w:highlight w:val="none"/>
                    </w:rPr>
                  </w:pPr>
                  <w:r>
                    <w:rPr>
                      <w:rFonts w:hint="eastAsia" w:ascii="宋体" w:hAnsi="宋体" w:cs="宋体"/>
                      <w:b/>
                      <w:color w:val="auto"/>
                      <w:szCs w:val="21"/>
                      <w:highlight w:val="none"/>
                    </w:rPr>
                    <w:t>实施部门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b/>
                      <w:color w:val="auto"/>
                      <w:szCs w:val="21"/>
                      <w:highlight w:val="none"/>
                    </w:rPr>
                  </w:pPr>
                  <w:r>
                    <w:rPr>
                      <w:rFonts w:hint="eastAsia" w:ascii="宋体" w:hAnsi="宋体" w:cs="宋体"/>
                      <w:b/>
                      <w:color w:val="auto"/>
                      <w:szCs w:val="21"/>
                      <w:highlight w:val="none"/>
                    </w:rPr>
                    <w:t>过程描述及注意事项</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b/>
                      <w:color w:val="auto"/>
                      <w:szCs w:val="21"/>
                      <w:highlight w:val="none"/>
                    </w:rPr>
                  </w:pPr>
                  <w:r>
                    <w:rPr>
                      <w:rFonts w:hint="eastAsia" w:ascii="宋体" w:hAnsi="宋体" w:cs="宋体"/>
                      <w:b/>
                      <w:color w:val="auto"/>
                      <w:szCs w:val="21"/>
                      <w:highlight w:val="none"/>
                    </w:rPr>
                    <w:t>支持性文件及记录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1729"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0288" behindDoc="0" locked="0" layoutInCell="1" allowOverlap="1">
                            <wp:simplePos x="0" y="0"/>
                            <wp:positionH relativeFrom="column">
                              <wp:posOffset>93980</wp:posOffset>
                            </wp:positionH>
                            <wp:positionV relativeFrom="paragraph">
                              <wp:posOffset>106680</wp:posOffset>
                            </wp:positionV>
                            <wp:extent cx="828040" cy="351155"/>
                            <wp:effectExtent l="4445" t="4445" r="5715" b="6350"/>
                            <wp:wrapNone/>
                            <wp:docPr id="1" name="矩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28040" cy="3511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供应商的确定</w:t>
                                        </w:r>
                                      </w:p>
                                    </w:txbxContent>
                                  </wps:txbx>
                                  <wps:bodyPr upright="1"/>
                                </wps:wsp>
                              </a:graphicData>
                            </a:graphic>
                          </wp:anchor>
                        </w:drawing>
                      </mc:Choice>
                      <mc:Fallback>
                        <w:pict>
                          <v:rect id="_x0000_s1026" o:spid="_x0000_s1026" o:spt="1" style="position:absolute;left:0pt;margin-left:7.4pt;margin-top:8.4pt;height:27.65pt;width:65.2pt;z-index:251660288;mso-width-relative:page;mso-height-relative:page;" fillcolor="#FFFFFF" filled="t" stroked="t" coordsize="21600,21600" o:gfxdata="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2BSuz1QAAAAgBAAAPAAAAAAAAAAEAIAAAACIAAABkcnMvZG93bnJldi54&#10;bWxQSwECFAAUAAAACACHTuJAiWuiov0BAAAUBAAADgAAAAAAAAABACAAAAAkAQAAZHJzL2Uyb0Rv&#10;Yy54bWxQSwUGAAAAAAYABgBZAQAAkwUAAAAA&#10;">
                            <v:fill on="t" focussize="0,0"/>
                            <v:stroke color="#000000" joinstyle="miter"/>
                            <v:imagedata o:title=""/>
                            <o:lock v:ext="edit" aspectratio="t"/>
                            <v:textbox>
                              <w:txbxContent>
                                <w:p>
                                  <w:pPr>
                                    <w:jc w:val="center"/>
                                    <w:rPr>
                                      <w:sz w:val="18"/>
                                      <w:szCs w:val="18"/>
                                    </w:rPr>
                                  </w:pPr>
                                  <w:r>
                                    <w:rPr>
                                      <w:rFonts w:hint="eastAsia"/>
                                      <w:sz w:val="18"/>
                                      <w:szCs w:val="18"/>
                                    </w:rPr>
                                    <w:t>供应商的确定</w:t>
                                  </w:r>
                                </w:p>
                              </w:txbxContent>
                            </v:textbox>
                          </v:rect>
                        </w:pict>
                      </mc:Fallback>
                    </mc:AlternateContent>
                  </w: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497205</wp:posOffset>
                            </wp:positionH>
                            <wp:positionV relativeFrom="paragraph">
                              <wp:posOffset>5715</wp:posOffset>
                            </wp:positionV>
                            <wp:extent cx="5715" cy="1124585"/>
                            <wp:effectExtent l="37465" t="0" r="33020" b="18415"/>
                            <wp:wrapNone/>
                            <wp:docPr id="2" name="直接箭头连接符 2"/>
                            <wp:cNvGraphicFramePr/>
                            <a:graphic xmlns:a="http://schemas.openxmlformats.org/drawingml/2006/main">
                              <a:graphicData uri="http://schemas.microsoft.com/office/word/2010/wordprocessingShape">
                                <wps:wsp>
                                  <wps:cNvCnPr/>
                                  <wps:spPr>
                                    <a:xfrm flipH="1">
                                      <a:off x="0" y="0"/>
                                      <a:ext cx="5715" cy="112458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9.15pt;margin-top:0.45pt;height:88.55pt;width:0.45pt;z-index:251661312;mso-width-relative:page;mso-height-relative:page;" filled="f" stroked="t" coordsize="21600,21600" o:gfxdata="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mfpbLVAAAABgEAAA8AAAAAAAAAAQAgAAAAIgAAAGRycy9kb3ducmV2LnhtbFBLAQIU&#10;ABQAAAAIAIdO4kCSuJM19gEAAL0DAAAOAAAAAAAAAAEAIAAAACQBAABkcnMvZTJvRG9jLnhtbFBL&#10;BQYAAAAABgAGAFkBAACMBQAAAAA=&#10;">
                            <v:fill on="f" focussize="0,0"/>
                            <v:stroke color="#000000" joinstyle="round" endarrow="block"/>
                            <v:imagedata o:title=""/>
                            <o:lock v:ext="edit" aspectratio="f"/>
                          </v:shape>
                        </w:pict>
                      </mc:Fallback>
                    </mc:AlternateContent>
                  </w: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p>
                <w:p>
                  <w:pPr>
                    <w:spacing w:line="360" w:lineRule="exact"/>
                    <w:ind w:right="-84"/>
                    <w:rPr>
                      <w:rFonts w:ascii="宋体" w:hAnsi="宋体" w:cs="宋体"/>
                      <w:color w:val="auto"/>
                      <w:szCs w:val="21"/>
                      <w:highlight w:val="none"/>
                    </w:rPr>
                  </w:pPr>
                </w:p>
                <w:p>
                  <w:pPr>
                    <w:spacing w:line="360" w:lineRule="exact"/>
                    <w:ind w:right="-84"/>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93980</wp:posOffset>
                            </wp:positionV>
                            <wp:extent cx="919480" cy="337820"/>
                            <wp:effectExtent l="4445" t="4445" r="9525" b="19685"/>
                            <wp:wrapNone/>
                            <wp:docPr id="3" name="矩形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19480" cy="3378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制定管理方案</w:t>
                                        </w:r>
                                      </w:p>
                                    </w:txbxContent>
                                  </wps:txbx>
                                  <wps:bodyPr upright="1"/>
                                </wps:wsp>
                              </a:graphicData>
                            </a:graphic>
                          </wp:anchor>
                        </w:drawing>
                      </mc:Choice>
                      <mc:Fallback>
                        <w:pict>
                          <v:rect id="_x0000_s1026" o:spid="_x0000_s1026" o:spt="1" style="position:absolute;left:0pt;margin-left:3.7pt;margin-top:7.4pt;height:26.6pt;width:72.4pt;z-index:251662336;mso-width-relative:page;mso-height-relative:page;" fillcolor="#FFFFFF" filled="t" stroked="t" coordsize="21600,21600" o:gfxdata="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bfLc9YAAAAHAQAADwAAAAAAAAABACAAAAAiAAAAZHJzL2Rvd25y&#10;ZXYueG1sUEsBAhQAFAAAAAgAh07iQHWZMYgAAgAAFAQAAA4AAAAAAAAAAQAgAAAAJQEAAGRycy9l&#10;Mm9Eb2MueG1sUEsFBgAAAAAGAAYAWQEAAJcFAAAAAA==&#10;">
                            <v:fill on="t" focussize="0,0"/>
                            <v:stroke color="#000000" joinstyle="miter"/>
                            <v:imagedata o:title=""/>
                            <o:lock v:ext="edit" aspectratio="t"/>
                            <v:textbox>
                              <w:txbxContent>
                                <w:p>
                                  <w:pPr>
                                    <w:jc w:val="center"/>
                                    <w:rPr>
                                      <w:sz w:val="18"/>
                                      <w:szCs w:val="18"/>
                                    </w:rPr>
                                  </w:pPr>
                                  <w:r>
                                    <w:rPr>
                                      <w:rFonts w:hint="eastAsia"/>
                                      <w:sz w:val="18"/>
                                      <w:szCs w:val="18"/>
                                    </w:rPr>
                                    <w:t>制定管理方案</w:t>
                                  </w:r>
                                </w:p>
                              </w:txbxContent>
                            </v:textbox>
                          </v:rect>
                        </w:pict>
                      </mc:Fallback>
                    </mc:AlternateContent>
                  </w: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499110</wp:posOffset>
                            </wp:positionH>
                            <wp:positionV relativeFrom="paragraph">
                              <wp:posOffset>59055</wp:posOffset>
                            </wp:positionV>
                            <wp:extent cx="5715" cy="640715"/>
                            <wp:effectExtent l="37465" t="0" r="33020" b="6985"/>
                            <wp:wrapNone/>
                            <wp:docPr id="4" name="直接箭头连接符 4"/>
                            <wp:cNvGraphicFramePr/>
                            <a:graphic xmlns:a="http://schemas.openxmlformats.org/drawingml/2006/main">
                              <a:graphicData uri="http://schemas.microsoft.com/office/word/2010/wordprocessingShape">
                                <wps:wsp>
                                  <wps:cNvCnPr/>
                                  <wps:spPr>
                                    <a:xfrm flipH="1">
                                      <a:off x="0" y="0"/>
                                      <a:ext cx="5715" cy="640715"/>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39.3pt;margin-top:4.65pt;height:50.45pt;width:0.45pt;z-index:251663360;mso-width-relative:page;mso-height-relative:page;" filled="f" stroked="t" coordsize="21600,21600" o:gfxdata="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9VZdP1wAAAAcBAAAPAAAAAAAAAAEAIAAAACIAAABkcnMvZG93bnJldi54bWxQSwEC&#10;FAAUAAAACACHTuJAK8jC5fUBAAC8AwAADgAAAAAAAAABACAAAAAmAQAAZHJzL2Uyb0RvYy54bWxQ&#10;SwUGAAAAAAYABgBZAQAAjQUAAAAA&#10;">
                            <v:fill on="f" focussize="0,0"/>
                            <v:stroke color="#000000" joinstyle="round" endarrow="block"/>
                            <v:imagedata o:title=""/>
                            <o:lock v:ext="edit" aspectratio="f"/>
                          </v:shape>
                        </w:pict>
                      </mc:Fallback>
                    </mc:AlternateContent>
                  </w: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109220</wp:posOffset>
                            </wp:positionH>
                            <wp:positionV relativeFrom="paragraph">
                              <wp:posOffset>50800</wp:posOffset>
                            </wp:positionV>
                            <wp:extent cx="795655" cy="354330"/>
                            <wp:effectExtent l="4445" t="4445" r="19050" b="22225"/>
                            <wp:wrapNone/>
                            <wp:docPr id="5" name="矩形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95655" cy="3543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监督管理</w:t>
                                        </w:r>
                                      </w:p>
                                    </w:txbxContent>
                                  </wps:txbx>
                                  <wps:bodyPr upright="1"/>
                                </wps:wsp>
                              </a:graphicData>
                            </a:graphic>
                          </wp:anchor>
                        </w:drawing>
                      </mc:Choice>
                      <mc:Fallback>
                        <w:pict>
                          <v:rect id="_x0000_s1026" o:spid="_x0000_s1026" o:spt="1" style="position:absolute;left:0pt;margin-left:8.6pt;margin-top:4pt;height:27.9pt;width:62.65pt;z-index:251664384;mso-width-relative:page;mso-height-relative:page;" fillcolor="#FFFFFF" filled="t" stroked="t" coordsize="21600,21600" o:gfxdata="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6bIqXVAAAABwEAAA8AAAAAAAAAAQAgAAAAIgAAAGRycy9kb3ducmV2&#10;LnhtbFBLAQIUABQAAAAIAIdO4kCJ9xhH/wEAABQEAAAOAAAAAAAAAAEAIAAAACQBAABkcnMvZTJv&#10;RG9jLnhtbFBLBQYAAAAABgAGAFkBAACVBQAAAAA=&#10;">
                            <v:fill on="t" focussize="0,0"/>
                            <v:stroke color="#000000" joinstyle="miter"/>
                            <v:imagedata o:title=""/>
                            <o:lock v:ext="edit" aspectratio="t"/>
                            <v:textbox>
                              <w:txbxContent>
                                <w:p>
                                  <w:pPr>
                                    <w:jc w:val="center"/>
                                    <w:rPr>
                                      <w:sz w:val="18"/>
                                      <w:szCs w:val="18"/>
                                    </w:rPr>
                                  </w:pPr>
                                  <w:r>
                                    <w:rPr>
                                      <w:rFonts w:hint="eastAsia"/>
                                      <w:sz w:val="18"/>
                                      <w:szCs w:val="18"/>
                                    </w:rPr>
                                    <w:t>监督管理</w:t>
                                  </w:r>
                                </w:p>
                              </w:txbxContent>
                            </v:textbox>
                          </v:rect>
                        </w:pict>
                      </mc:Fallback>
                    </mc:AlternateContent>
                  </w: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508000</wp:posOffset>
                            </wp:positionH>
                            <wp:positionV relativeFrom="paragraph">
                              <wp:posOffset>184150</wp:posOffset>
                            </wp:positionV>
                            <wp:extent cx="5080" cy="2262505"/>
                            <wp:effectExtent l="33020" t="0" r="38100" b="4445"/>
                            <wp:wrapNone/>
                            <wp:docPr id="6" name="直接箭头连接符 6"/>
                            <wp:cNvGraphicFramePr/>
                            <a:graphic xmlns:a="http://schemas.openxmlformats.org/drawingml/2006/main">
                              <a:graphicData uri="http://schemas.microsoft.com/office/word/2010/wordprocessingShape">
                                <wps:wsp>
                                  <wps:cNvCnPr/>
                                  <wps:spPr>
                                    <a:xfrm>
                                      <a:off x="0" y="0"/>
                                      <a:ext cx="5080" cy="22625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0pt;margin-top:14.5pt;height:178.15pt;width:0.4pt;z-index:251665408;mso-width-relative:page;mso-height-relative:page;" filled="f" stroked="t" coordsize="21600,21600" o:gfxdata="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v&#10;Nh0t2QAAAAgBAAAPAAAAAAAAAAEAIAAAACIAAABkcnMvZG93bnJldi54bWxQSwECFAAUAAAACACH&#10;TuJA+RmpFuoBAAClAwAADgAAAAAAAAABACAAAAAoAQAAZHJzL2Uyb0RvYy54bWxQSwUGAAAAAAYA&#10;BgBZAQAAhAUAAAAA&#10;">
                            <v:fill on="f" focussize="0,0"/>
                            <v:stroke color="#000000" joinstyle="round" endarrow="block"/>
                            <v:imagedata o:title=""/>
                            <o:lock v:ext="edit" aspectratio="f"/>
                          </v:shape>
                        </w:pict>
                      </mc:Fallback>
                    </mc:AlternateContent>
                  </w: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p>
                <w:p>
                  <w:pPr>
                    <w:spacing w:line="360" w:lineRule="exact"/>
                    <w:ind w:right="-84"/>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r>
                    <w:rPr>
                      <w:rFonts w:hint="eastAsia" w:ascii="宋体" w:hAnsi="宋体" w:cs="宋体"/>
                      <w:color w:val="auto"/>
                      <w:szCs w:val="21"/>
                      <w:highlight w:val="none"/>
                    </w:rPr>
                    <w:t>副部长</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r>
                    <w:rPr>
                      <w:rFonts w:hint="eastAsia" w:ascii="宋体" w:hAnsi="宋体" w:cs="宋体"/>
                      <w:color w:val="auto"/>
                      <w:szCs w:val="21"/>
                      <w:highlight w:val="none"/>
                    </w:rPr>
                    <w:t>物业管理部</w:t>
                  </w:r>
                </w:p>
              </w:tc>
              <w:tc>
                <w:tcPr>
                  <w:tcW w:w="34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1.合作供应商的确定，如通过招投标的，由公司综合部统一采购；非公司统一采购的由物业管理部选定后报公司领导审批确定。</w:t>
                  </w:r>
                </w:p>
                <w:p>
                  <w:pPr>
                    <w:autoSpaceDE w:val="0"/>
                    <w:autoSpaceDN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2.合作供应商确定后由资产运营管理部负责将供应商基本资料、合同主要内容提供至综合部备案。</w:t>
                  </w:r>
                </w:p>
              </w:tc>
              <w:tc>
                <w:tcPr>
                  <w:tcW w:w="992" w:type="dxa"/>
                  <w:tcBorders>
                    <w:top w:val="single" w:color="auto" w:sz="4" w:space="0"/>
                    <w:left w:val="single" w:color="auto" w:sz="4" w:space="0"/>
                    <w:bottom w:val="single" w:color="auto" w:sz="4" w:space="0"/>
                    <w:right w:val="single" w:color="auto" w:sz="4" w:space="0"/>
                  </w:tcBorders>
                  <w:vAlign w:val="center"/>
                </w:tcPr>
                <w:p>
                  <w:pPr>
                    <w:pStyle w:val="19"/>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w:t>
                  </w:r>
                </w:p>
                <w:p>
                  <w:pPr>
                    <w:pStyle w:val="19"/>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r>
                    <w:rPr>
                      <w:rFonts w:hint="eastAsia" w:ascii="宋体" w:hAnsi="宋体" w:cs="宋体"/>
                      <w:color w:val="auto"/>
                      <w:szCs w:val="21"/>
                      <w:highlight w:val="none"/>
                    </w:rPr>
                    <w:t>副部长</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r>
                    <w:rPr>
                      <w:rFonts w:hint="eastAsia" w:ascii="宋体" w:hAnsi="宋体" w:cs="宋体"/>
                      <w:color w:val="auto"/>
                      <w:szCs w:val="21"/>
                      <w:highlight w:val="none"/>
                    </w:rPr>
                    <w:t>物业管理部</w:t>
                  </w:r>
                </w:p>
              </w:tc>
              <w:tc>
                <w:tcPr>
                  <w:tcW w:w="340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exact"/>
                    <w:textAlignment w:val="bottom"/>
                    <w:rPr>
                      <w:rFonts w:ascii="宋体" w:hAnsi="宋体" w:cs="宋体"/>
                      <w:color w:val="auto"/>
                      <w:szCs w:val="21"/>
                      <w:highlight w:val="none"/>
                    </w:rPr>
                  </w:pPr>
                  <w:r>
                    <w:rPr>
                      <w:rFonts w:hint="eastAsia" w:ascii="宋体" w:hAnsi="宋体" w:cs="宋体"/>
                      <w:color w:val="auto"/>
                      <w:szCs w:val="21"/>
                      <w:highlight w:val="none"/>
                    </w:rPr>
                    <w:t>根据供应商基本资料及双方合同要点，制定管理方案，并交综合部备案。</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r>
                    <w:rPr>
                      <w:rFonts w:hint="eastAsia" w:ascii="宋体" w:hAnsi="宋体" w:cs="宋体"/>
                      <w:color w:val="auto"/>
                      <w:szCs w:val="21"/>
                      <w:highlight w:val="none"/>
                    </w:rPr>
                    <w:t>巡查员</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r>
                    <w:rPr>
                      <w:rFonts w:hint="eastAsia" w:ascii="宋体" w:hAnsi="宋体" w:cs="宋体"/>
                      <w:color w:val="auto"/>
                      <w:szCs w:val="21"/>
                      <w:highlight w:val="none"/>
                    </w:rPr>
                    <w:t>物业管理部</w:t>
                  </w:r>
                </w:p>
              </w:tc>
              <w:tc>
                <w:tcPr>
                  <w:tcW w:w="3402" w:type="dxa"/>
                  <w:tcBorders>
                    <w:top w:val="single" w:color="auto" w:sz="4" w:space="0"/>
                    <w:left w:val="single" w:color="auto" w:sz="4" w:space="0"/>
                    <w:bottom w:val="single" w:color="auto" w:sz="4" w:space="0"/>
                    <w:right w:val="single" w:color="auto" w:sz="4" w:space="0"/>
                  </w:tcBorders>
                </w:tcPr>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对“灭四害”消杀单位的监督管理：</w:t>
                  </w:r>
                </w:p>
                <w:p>
                  <w:pPr>
                    <w:numPr>
                      <w:ilvl w:val="0"/>
                      <w:numId w:val="11"/>
                    </w:num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日常消杀：</w:t>
                  </w:r>
                </w:p>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1.每月初提交月工作计划，消杀工作前应向物业管理部发出灭害的警示。</w:t>
                  </w:r>
                </w:p>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2.严格按照合同消杀次数进行灭杀。</w:t>
                  </w:r>
                </w:p>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3.消杀工作人员统一着装，文明施工，进行外围消杀时放置相应的工作警示牌。</w:t>
                  </w:r>
                </w:p>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4.接到物业管理部临时问题处理通知后，应于2小时内到达指定的现场。</w:t>
                  </w:r>
                </w:p>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5.巡查员跟进每次消杀工作，并填写消杀工作记录检查表。</w:t>
                  </w:r>
                </w:p>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二、中国—东盟博览会期间消杀：</w:t>
                  </w:r>
                </w:p>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1.在中国—东盟博览会开幕式前消杀单位制定方案集中灭杀。</w:t>
                  </w:r>
                </w:p>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2.在中国—东盟博览会期间安排消杀单位工作人员进行“四害”达标维</w:t>
                  </w:r>
                  <w:r>
                    <w:rPr>
                      <w:rFonts w:ascii="宋体" w:hAnsi="宋体" w:cs="宋体"/>
                      <w:color w:val="auto"/>
                      <w:szCs w:val="21"/>
                      <w:highlight w:val="none"/>
                    </w:rPr>
                    <mc:AlternateContent>
                      <mc:Choice Requires="wps">
                        <w:drawing>
                          <wp:anchor distT="0" distB="0" distL="114300" distR="114300" simplePos="0" relativeHeight="251674624" behindDoc="0" locked="0" layoutInCell="1" allowOverlap="1">
                            <wp:simplePos x="0" y="0"/>
                            <wp:positionH relativeFrom="column">
                              <wp:posOffset>-1653540</wp:posOffset>
                            </wp:positionH>
                            <wp:positionV relativeFrom="paragraph">
                              <wp:posOffset>46355</wp:posOffset>
                            </wp:positionV>
                            <wp:extent cx="4445" cy="1013460"/>
                            <wp:effectExtent l="37465" t="0" r="34290" b="15240"/>
                            <wp:wrapNone/>
                            <wp:docPr id="8" name="自选图形 2"/>
                            <wp:cNvGraphicFramePr/>
                            <a:graphic xmlns:a="http://schemas.openxmlformats.org/drawingml/2006/main">
                              <a:graphicData uri="http://schemas.microsoft.com/office/word/2010/wordprocessingShape">
                                <wps:wsp>
                                  <wps:cNvCnPr/>
                                  <wps:spPr>
                                    <a:xfrm flipH="1">
                                      <a:off x="0" y="0"/>
                                      <a:ext cx="4445" cy="10134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 o:spid="_x0000_s1026" o:spt="32" type="#_x0000_t32" style="position:absolute;left:0pt;flip:x;margin-left:-130.2pt;margin-top:3.65pt;height:79.8pt;width:0.35pt;z-index:251674624;mso-width-relative:page;mso-height-relative:page;" filled="f" stroked="t" coordsize="21600,21600" o:gfxdata="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hmzW9sAAAALAQAADwAAAAAAAAABACAAAAAiAAAAZHJzL2Rvd25yZXYueG1sUEsBAhQAFAAA&#10;AAgAh07iQAFpjYbsAQAApgMAAA4AAAAAAAAAAQAgAAAAKgEAAGRycy9lMm9Eb2MueG1sUEsFBgAA&#10;AAAGAAYAWQEAAIgFAAAAAA==&#10;">
                            <v:fill on="f" focussize="0,0"/>
                            <v:stroke color="#000000" joinstyle="round" endarrow="block"/>
                            <v:imagedata o:title=""/>
                            <o:lock v:ext="edit" aspectratio="f"/>
                          </v:shape>
                        </w:pict>
                      </mc:Fallback>
                    </mc:AlternateContent>
                  </w:r>
                  <w:r>
                    <w:rPr>
                      <w:rFonts w:hint="eastAsia" w:ascii="宋体" w:hAnsi="宋体" w:cs="宋体"/>
                      <w:color w:val="auto"/>
                      <w:szCs w:val="21"/>
                      <w:highlight w:val="none"/>
                    </w:rPr>
                    <w:t>护。</w:t>
                  </w:r>
                </w:p>
                <w:p>
                  <w:pPr>
                    <w:tabs>
                      <w:tab w:val="left" w:pos="0"/>
                    </w:tabs>
                    <w:spacing w:line="360" w:lineRule="exact"/>
                    <w:ind w:right="-84"/>
                    <w:rPr>
                      <w:rFonts w:ascii="宋体" w:hAnsi="宋体" w:cs="宋体"/>
                      <w:color w:val="auto"/>
                      <w:szCs w:val="21"/>
                      <w:highlight w:val="none"/>
                    </w:rPr>
                  </w:pPr>
                  <w:r>
                    <w:rPr>
                      <w:rFonts w:hint="eastAsia" w:ascii="宋体" w:hAnsi="宋体" w:cs="宋体"/>
                      <w:color w:val="auto"/>
                      <w:szCs w:val="21"/>
                      <w:highlight w:val="none"/>
                    </w:rPr>
                    <w:t>三、每月底根据《消杀工作记录检查表》进行评分，填写《灭四害评分表》。月度评分低于80分的，按合同处罚标准进行处罚。</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《消杀工作记录检查表》</w:t>
                  </w:r>
                </w:p>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《灭四害评分表》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729"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r>
                    <w:rPr>
                      <w:rFonts w:ascii="宋体" w:hAnsi="宋体" w:cs="宋体"/>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-953770</wp:posOffset>
                            </wp:positionH>
                            <wp:positionV relativeFrom="paragraph">
                              <wp:posOffset>45085</wp:posOffset>
                            </wp:positionV>
                            <wp:extent cx="738505" cy="303530"/>
                            <wp:effectExtent l="4445" t="5080" r="19050" b="15240"/>
                            <wp:wrapNone/>
                            <wp:docPr id="7" name="矩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38505" cy="3035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18"/>
                                            <w:szCs w:val="18"/>
                                          </w:rPr>
                                        </w:pPr>
                                        <w:r>
                                          <w:rPr>
                                            <w:rFonts w:hint="eastAsia"/>
                                            <w:sz w:val="18"/>
                                            <w:szCs w:val="18"/>
                                          </w:rPr>
                                          <w:t>资料存档</w:t>
                                        </w:r>
                                      </w:p>
                                    </w:txbxContent>
                                  </wps:txbx>
                                  <wps:bodyPr upright="1"/>
                                </wps:wsp>
                              </a:graphicData>
                            </a:graphic>
                          </wp:anchor>
                        </w:drawing>
                      </mc:Choice>
                      <mc:Fallback>
                        <w:pict>
                          <v:rect id="_x0000_s1026" o:spid="_x0000_s1026" o:spt="1" style="position:absolute;left:0pt;margin-left:-75.1pt;margin-top:3.55pt;height:23.9pt;width:58.15pt;z-index:251666432;mso-width-relative:page;mso-height-relative:page;" fillcolor="#FFFFFF" filled="t" stroked="t" coordsize="21600,21600" o:gfxdata="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wo5qrYAAAACQEAAA8AAAAAAAAAAQAgAAAAIgAAAGRycy9kb3du&#10;cmV2LnhtbFBLAQIUABQAAAAIAIdO4kC+9skc/wEAABQEAAAOAAAAAAAAAAEAIAAAACcBAABkcnMv&#10;ZTJvRG9jLnhtbFBLBQYAAAAABgAGAFkBAACYBQAAAAA=&#10;">
                            <v:fill on="t" focussize="0,0"/>
                            <v:stroke color="#000000" joinstyle="miter"/>
                            <v:imagedata o:title=""/>
                            <o:lock v:ext="edit" aspectratio="t"/>
                            <v:textbox>
                              <w:txbxContent>
                                <w:p>
                                  <w:pPr>
                                    <w:jc w:val="center"/>
                                    <w:rPr>
                                      <w:sz w:val="18"/>
                                      <w:szCs w:val="18"/>
                                    </w:rPr>
                                  </w:pPr>
                                  <w:r>
                                    <w:rPr>
                                      <w:rFonts w:hint="eastAsia"/>
                                      <w:sz w:val="18"/>
                                      <w:szCs w:val="18"/>
                                    </w:rPr>
                                    <w:t>资料存档</w:t>
                                  </w:r>
                                </w:p>
                              </w:txbxContent>
                            </v:textbox>
                          </v:rect>
                        </w:pict>
                      </mc:Fallback>
                    </mc:AlternateContent>
                  </w:r>
                  <w:r>
                    <w:rPr>
                      <w:rFonts w:hint="eastAsia" w:ascii="宋体" w:hAnsi="宋体" w:cs="宋体"/>
                      <w:color w:val="auto"/>
                      <w:szCs w:val="21"/>
                      <w:highlight w:val="none"/>
                    </w:rPr>
                    <w:t>巡查员</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ind w:right="-84"/>
                    <w:jc w:val="center"/>
                    <w:rPr>
                      <w:rFonts w:ascii="宋体" w:hAnsi="宋体" w:cs="宋体"/>
                      <w:color w:val="auto"/>
                      <w:szCs w:val="21"/>
                      <w:highlight w:val="none"/>
                    </w:rPr>
                  </w:pPr>
                  <w:r>
                    <w:rPr>
                      <w:rFonts w:hint="eastAsia" w:ascii="宋体" w:hAnsi="宋体" w:cs="宋体"/>
                      <w:color w:val="auto"/>
                      <w:szCs w:val="21"/>
                      <w:highlight w:val="none"/>
                    </w:rPr>
                    <w:t>物业管理部</w:t>
                  </w:r>
                </w:p>
              </w:tc>
              <w:tc>
                <w:tcPr>
                  <w:tcW w:w="340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rPr>
                      <w:rFonts w:ascii="宋体" w:hAnsi="宋体" w:cs="宋体"/>
                      <w:color w:val="auto"/>
                      <w:szCs w:val="21"/>
                      <w:highlight w:val="none"/>
                    </w:rPr>
                  </w:pPr>
                  <w:r>
                    <w:rPr>
                      <w:rFonts w:hint="eastAsia" w:ascii="宋体" w:hAnsi="宋体" w:cs="宋体"/>
                      <w:color w:val="auto"/>
                      <w:szCs w:val="21"/>
                      <w:highlight w:val="none"/>
                    </w:rPr>
                    <w:t>将供应商资料、评定记录、评估资料交综合部存档备案。</w:t>
                  </w:r>
                </w:p>
              </w:tc>
              <w:tc>
                <w:tcPr>
                  <w:tcW w:w="992" w:type="dxa"/>
                  <w:tcBorders>
                    <w:top w:val="single" w:color="auto" w:sz="4" w:space="0"/>
                    <w:left w:val="single" w:color="auto" w:sz="4" w:space="0"/>
                    <w:bottom w:val="single" w:color="auto" w:sz="4" w:space="0"/>
                    <w:right w:val="single" w:color="auto" w:sz="4" w:space="0"/>
                  </w:tcBorders>
                  <w:vAlign w:val="center"/>
                </w:tcPr>
                <w:p>
                  <w:pPr>
                    <w:spacing w:line="360" w:lineRule="exact"/>
                    <w:ind w:right="-84"/>
                    <w:rPr>
                      <w:rFonts w:ascii="宋体" w:hAnsi="宋体" w:cs="宋体"/>
                      <w:color w:val="auto"/>
                      <w:szCs w:val="21"/>
                      <w:highlight w:val="none"/>
                    </w:rPr>
                  </w:pPr>
                </w:p>
              </w:tc>
            </w:tr>
          </w:tbl>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消杀工作记录检查表</w:t>
            </w:r>
          </w:p>
          <w:p>
            <w:pPr>
              <w:spacing w:line="360" w:lineRule="exact"/>
              <w:jc w:val="center"/>
              <w:rPr>
                <w:rFonts w:ascii="宋体" w:hAnsi="宋体" w:cs="宋体"/>
                <w:b/>
                <w:color w:val="auto"/>
                <w:szCs w:val="21"/>
                <w:highlight w:val="none"/>
              </w:rPr>
            </w:pPr>
          </w:p>
          <w:tbl>
            <w:tblPr>
              <w:tblStyle w:val="49"/>
              <w:tblW w:w="8335" w:type="dxa"/>
              <w:jc w:val="center"/>
              <w:tblCellSpacing w:w="7"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64"/>
              <w:gridCol w:w="1289"/>
              <w:gridCol w:w="1118"/>
              <w:gridCol w:w="1064"/>
              <w:gridCol w:w="1022"/>
              <w:gridCol w:w="1050"/>
              <w:gridCol w:w="1037"/>
              <w:gridCol w:w="89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91" w:hRule="atLeast"/>
                <w:tblCellSpacing w:w="7" w:type="dxa"/>
                <w:jc w:val="center"/>
              </w:trPr>
              <w:tc>
                <w:tcPr>
                  <w:tcW w:w="84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日期</w:t>
                  </w:r>
                </w:p>
              </w:tc>
              <w:tc>
                <w:tcPr>
                  <w:tcW w:w="1275"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消杀药品名称</w:t>
                  </w:r>
                </w:p>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浓度配比</w:t>
                  </w:r>
                </w:p>
              </w:tc>
              <w:tc>
                <w:tcPr>
                  <w:tcW w:w="1104"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作用</w:t>
                  </w:r>
                </w:p>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使用范围</w:t>
                  </w:r>
                </w:p>
              </w:tc>
              <w:tc>
                <w:tcPr>
                  <w:tcW w:w="105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作业防护</w:t>
                  </w:r>
                </w:p>
              </w:tc>
              <w:tc>
                <w:tcPr>
                  <w:tcW w:w="1008"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消杀作业</w:t>
                  </w:r>
                </w:p>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人员签名</w:t>
                  </w:r>
                </w:p>
              </w:tc>
              <w:tc>
                <w:tcPr>
                  <w:tcW w:w="1036"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消杀情况</w:t>
                  </w:r>
                </w:p>
              </w:tc>
              <w:tc>
                <w:tcPr>
                  <w:tcW w:w="102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施工单位</w:t>
                  </w:r>
                </w:p>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检查人</w:t>
                  </w:r>
                </w:p>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签名</w:t>
                  </w:r>
                </w:p>
              </w:tc>
              <w:tc>
                <w:tcPr>
                  <w:tcW w:w="87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资产运营管理部检查人</w:t>
                  </w:r>
                </w:p>
                <w:p>
                  <w:pPr>
                    <w:spacing w:before="100" w:beforeAutospacing="1" w:after="100" w:afterAutospacing="1" w:line="360" w:lineRule="exact"/>
                    <w:jc w:val="center"/>
                    <w:rPr>
                      <w:rFonts w:ascii="宋体" w:hAnsi="宋体" w:cs="宋体"/>
                      <w:color w:val="auto"/>
                      <w:szCs w:val="21"/>
                      <w:highlight w:val="none"/>
                    </w:rPr>
                  </w:pPr>
                  <w:r>
                    <w:rPr>
                      <w:rFonts w:hint="eastAsia" w:ascii="宋体" w:hAnsi="宋体" w:cs="宋体"/>
                      <w:color w:val="auto"/>
                      <w:szCs w:val="21"/>
                      <w:highlight w:val="none"/>
                    </w:rPr>
                    <w:t>签名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3" w:hRule="atLeast"/>
                <w:tblCellSpacing w:w="7" w:type="dxa"/>
                <w:jc w:val="center"/>
              </w:trPr>
              <w:tc>
                <w:tcPr>
                  <w:tcW w:w="84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275"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104"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008"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036"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02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87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3" w:hRule="atLeast"/>
                <w:tblCellSpacing w:w="7" w:type="dxa"/>
                <w:jc w:val="center"/>
              </w:trPr>
              <w:tc>
                <w:tcPr>
                  <w:tcW w:w="84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275"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104"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05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008"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036"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1023"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c>
                <w:tcPr>
                  <w:tcW w:w="870" w:type="dxa"/>
                  <w:tcBorders>
                    <w:top w:val="single" w:color="auto" w:sz="2" w:space="0"/>
                    <w:left w:val="single" w:color="auto" w:sz="2" w:space="0"/>
                    <w:bottom w:val="single" w:color="auto" w:sz="2" w:space="0"/>
                    <w:right w:val="single" w:color="auto" w:sz="2" w:space="0"/>
                  </w:tcBorders>
                  <w:shd w:val="clear" w:color="auto" w:fill="FFFFFF"/>
                  <w:vAlign w:val="center"/>
                </w:tcPr>
                <w:p>
                  <w:pPr>
                    <w:spacing w:line="360" w:lineRule="exact"/>
                    <w:rPr>
                      <w:rFonts w:ascii="宋体" w:hAnsi="宋体" w:cs="宋体"/>
                      <w:b/>
                      <w:color w:val="auto"/>
                      <w:szCs w:val="21"/>
                      <w:highlight w:val="none"/>
                    </w:rPr>
                  </w:pPr>
                </w:p>
              </w:tc>
            </w:tr>
          </w:tbl>
          <w:p>
            <w:pPr>
              <w:spacing w:line="360" w:lineRule="exact"/>
              <w:rPr>
                <w:rFonts w:ascii="宋体" w:hAnsi="宋体" w:cs="宋体"/>
                <w:color w:val="auto"/>
                <w:szCs w:val="21"/>
                <w:highlight w:val="none"/>
              </w:rPr>
            </w:pPr>
            <w:r>
              <w:rPr>
                <w:rFonts w:hint="eastAsia" w:ascii="宋体" w:hAnsi="宋体" w:cs="宋体"/>
                <w:b/>
                <w:color w:val="auto"/>
                <w:szCs w:val="21"/>
                <w:highlight w:val="none"/>
              </w:rPr>
              <w:t>注：此表填写时必须对消杀时所使用的药品、消杀范围、消杀人员及对消杀范围是否有防护等进行检查。</w:t>
            </w: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p>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灭四害评分表</w:t>
            </w:r>
          </w:p>
          <w:p>
            <w:pPr>
              <w:spacing w:line="360" w:lineRule="exact"/>
              <w:rPr>
                <w:rFonts w:ascii="宋体" w:hAnsi="宋体" w:cs="宋体"/>
                <w:color w:val="auto"/>
                <w:szCs w:val="21"/>
                <w:highlight w:val="none"/>
              </w:rPr>
            </w:pPr>
            <w:r>
              <w:rPr>
                <w:rFonts w:hint="eastAsia" w:ascii="宋体" w:hAnsi="宋体" w:cs="宋体"/>
                <w:color w:val="auto"/>
                <w:szCs w:val="21"/>
                <w:highlight w:val="none"/>
              </w:rPr>
              <w:t>检查部门：检查月份：总评分：</w:t>
            </w:r>
          </w:p>
          <w:tbl>
            <w:tblPr>
              <w:tblStyle w:val="49"/>
              <w:tblW w:w="7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688"/>
              <w:gridCol w:w="3260"/>
              <w:gridCol w:w="709"/>
              <w:gridCol w:w="709"/>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检查项目</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评分标准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检查时间</w:t>
                  </w:r>
                </w:p>
              </w:tc>
              <w:tc>
                <w:tcPr>
                  <w:tcW w:w="709"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不符项目区域</w:t>
                  </w:r>
                </w:p>
              </w:tc>
              <w:tc>
                <w:tcPr>
                  <w:tcW w:w="535"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灭四害人员统一着装情况</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全部统一得10分，有1人未统一得7分，有2人未统一得5分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服务响应时间</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2小时内响应得10分，2—2.5小时得7分，2.5—3小时得5分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布置工作完成情况</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全部完成得10分，有1项未完成得7分，有2项未完成得5分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是否提交工作计划、及工作总结和灭前灭后检查表</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按要求提交得10分，有1项未提交得7分，有两项未提交得5分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灭前是否提前发出灭害的警示</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灭前发出警示公告得10分，未发出得5分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提供使用药物名单</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提供药物名单得10分，未提供得5分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是否及时清理消杀垃圾</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及时清理得0分，有1处未清理得7分，有2处未清理得5分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是否按合同次数做好各项消杀</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按合同次数消杀得10分，缺失1次得7分，缺少2次得5分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文明施工，是否有损坏物品</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未损坏物品得10分，有损坏1处得7分，有2处损坏得5分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40"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688"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是否有投诉反映消杀效果不佳（按合同标准）</w:t>
                  </w:r>
                </w:p>
              </w:tc>
              <w:tc>
                <w:tcPr>
                  <w:tcW w:w="3260"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r>
                    <w:rPr>
                      <w:rFonts w:hint="eastAsia" w:ascii="宋体" w:hAnsi="宋体" w:cs="宋体"/>
                      <w:color w:val="auto"/>
                      <w:szCs w:val="21"/>
                      <w:highlight w:val="none"/>
                    </w:rPr>
                    <w:t>无投诉得10分，有1次投诉得7分，有2次投诉得5分</w:t>
                  </w: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709"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c>
                <w:tcPr>
                  <w:tcW w:w="535" w:type="dxa"/>
                  <w:tcBorders>
                    <w:top w:val="single" w:color="auto" w:sz="4" w:space="0"/>
                    <w:left w:val="single" w:color="auto" w:sz="4" w:space="0"/>
                    <w:bottom w:val="single" w:color="auto" w:sz="4" w:space="0"/>
                    <w:right w:val="single" w:color="auto" w:sz="4" w:space="0"/>
                  </w:tcBorders>
                </w:tcPr>
                <w:p>
                  <w:pPr>
                    <w:spacing w:line="360" w:lineRule="exact"/>
                    <w:rPr>
                      <w:rFonts w:ascii="宋体" w:hAnsi="宋体" w:cs="宋体"/>
                      <w:color w:val="auto"/>
                      <w:szCs w:val="21"/>
                      <w:highlight w:val="none"/>
                    </w:rPr>
                  </w:pPr>
                </w:p>
              </w:tc>
            </w:tr>
          </w:tbl>
          <w:p>
            <w:pPr>
              <w:spacing w:line="360" w:lineRule="exact"/>
              <w:rPr>
                <w:rFonts w:ascii="宋体" w:hAnsi="宋体" w:cs="宋体"/>
                <w:color w:val="auto"/>
                <w:szCs w:val="21"/>
                <w:highlight w:val="none"/>
              </w:rPr>
            </w:pPr>
          </w:p>
          <w:p>
            <w:pPr>
              <w:spacing w:line="360" w:lineRule="exact"/>
              <w:rPr>
                <w:rFonts w:ascii="宋体" w:hAnsi="宋体" w:cs="宋体"/>
                <w:color w:val="auto"/>
                <w:szCs w:val="21"/>
                <w:highlight w:val="none"/>
              </w:rPr>
            </w:pPr>
            <w:r>
              <w:rPr>
                <w:rFonts w:hint="eastAsia" w:ascii="宋体" w:hAnsi="宋体" w:cs="宋体"/>
                <w:color w:val="auto"/>
                <w:szCs w:val="21"/>
                <w:highlight w:val="none"/>
              </w:rPr>
              <w:t>检查人：                                   外包单位确认：</w:t>
            </w:r>
          </w:p>
        </w:tc>
      </w:tr>
    </w:tbl>
    <w:p>
      <w:pPr>
        <w:spacing w:line="440" w:lineRule="exact"/>
        <w:jc w:val="center"/>
        <w:rPr>
          <w:rFonts w:ascii="宋体" w:hAnsi="宋体"/>
          <w:color w:val="auto"/>
          <w:szCs w:val="21"/>
          <w:highlight w:val="none"/>
        </w:rPr>
      </w:pPr>
    </w:p>
    <w:p>
      <w:pPr>
        <w:spacing w:line="440" w:lineRule="exact"/>
        <w:jc w:val="center"/>
        <w:rPr>
          <w:rFonts w:ascii="宋体" w:hAnsi="宋体"/>
          <w:color w:val="auto"/>
          <w:szCs w:val="21"/>
          <w:highlight w:val="none"/>
        </w:rPr>
      </w:pPr>
    </w:p>
    <w:p>
      <w:pPr>
        <w:widowControl/>
        <w:jc w:val="left"/>
        <w:rPr>
          <w:color w:val="auto"/>
          <w:highlight w:val="none"/>
        </w:rPr>
      </w:pPr>
    </w:p>
    <w:p>
      <w:pPr>
        <w:pStyle w:val="3"/>
        <w:jc w:val="center"/>
        <w:rPr>
          <w:color w:val="auto"/>
          <w:highlight w:val="none"/>
        </w:rPr>
      </w:pPr>
      <w:bookmarkStart w:id="35" w:name="_Toc393040187"/>
      <w:bookmarkStart w:id="36" w:name="_Toc21372"/>
      <w:bookmarkStart w:id="37" w:name="_Toc21831_WPSOffice_Level1"/>
      <w:r>
        <w:rPr>
          <w:rFonts w:hint="eastAsia"/>
          <w:color w:val="auto"/>
          <w:highlight w:val="none"/>
        </w:rPr>
        <w:t>第四章评</w:t>
      </w:r>
      <w:bookmarkEnd w:id="35"/>
      <w:r>
        <w:rPr>
          <w:rFonts w:hint="eastAsia"/>
          <w:color w:val="auto"/>
          <w:highlight w:val="none"/>
        </w:rPr>
        <w:t>审方法</w:t>
      </w:r>
      <w:bookmarkEnd w:id="36"/>
      <w:bookmarkEnd w:id="37"/>
    </w:p>
    <w:p>
      <w:pPr>
        <w:pStyle w:val="3"/>
        <w:jc w:val="center"/>
        <w:rPr>
          <w:rFonts w:ascii="Times New Roman" w:hAnsi="Times New Roman"/>
          <w:color w:val="auto"/>
          <w:sz w:val="30"/>
          <w:szCs w:val="30"/>
          <w:highlight w:val="none"/>
        </w:rPr>
      </w:pPr>
      <w:bookmarkStart w:id="38" w:name="_Toc6887"/>
      <w:bookmarkStart w:id="39" w:name="_Toc21234_WPSOffice_Level2"/>
      <w:r>
        <w:rPr>
          <w:rFonts w:hint="eastAsia" w:ascii="Times New Roman" w:hAnsi="Times New Roman"/>
          <w:color w:val="auto"/>
          <w:sz w:val="30"/>
          <w:szCs w:val="30"/>
          <w:highlight w:val="none"/>
        </w:rPr>
        <w:t>最低评标价法</w:t>
      </w:r>
      <w:bookmarkEnd w:id="38"/>
      <w:bookmarkEnd w:id="39"/>
    </w:p>
    <w:p>
      <w:pPr>
        <w:pStyle w:val="3"/>
        <w:jc w:val="center"/>
        <w:rPr>
          <w:rFonts w:hAnsi="宋体"/>
          <w:b w:val="0"/>
          <w:bCs w:val="0"/>
          <w:color w:val="auto"/>
          <w:highlight w:val="none"/>
        </w:rPr>
      </w:pPr>
      <w:r>
        <w:rPr>
          <w:rFonts w:hint="eastAsia" w:ascii="Times New Roman" w:hAnsi="Times New Roman"/>
          <w:color w:val="auto"/>
          <w:sz w:val="30"/>
          <w:szCs w:val="30"/>
          <w:highlight w:val="none"/>
        </w:rPr>
        <w:t xml:space="preserve">   </w:t>
      </w:r>
      <w:bookmarkStart w:id="40" w:name="_Toc32182"/>
      <w:r>
        <w:rPr>
          <w:rFonts w:ascii="宋体" w:hAnsi="Courier New"/>
          <w:b w:val="0"/>
          <w:bCs w:val="0"/>
          <w:color w:val="auto"/>
          <w:sz w:val="21"/>
          <w:szCs w:val="20"/>
          <w:highlight w:val="none"/>
        </w:rPr>
        <w:t>谈判小组以竞争性谈判采购文件为依据，对竞标文件进行评审，在全部满足竞争性谈判采购文件实质性要求和条件的前提下，按评标价由低到高排列成交候选供应商顺序（评标价相同时，依次按技术指标高优先、质量保证期长优先、</w:t>
      </w:r>
      <w:r>
        <w:rPr>
          <w:rFonts w:hint="eastAsia" w:ascii="宋体" w:hAnsi="Courier New"/>
          <w:b w:val="0"/>
          <w:bCs w:val="0"/>
          <w:color w:val="auto"/>
          <w:sz w:val="21"/>
          <w:szCs w:val="20"/>
          <w:highlight w:val="none"/>
        </w:rPr>
        <w:t>处理问题响应</w:t>
      </w:r>
      <w:r>
        <w:rPr>
          <w:rFonts w:ascii="宋体" w:hAnsi="Courier New"/>
          <w:b w:val="0"/>
          <w:bCs w:val="0"/>
          <w:color w:val="auto"/>
          <w:sz w:val="21"/>
          <w:szCs w:val="20"/>
          <w:highlight w:val="none"/>
        </w:rPr>
        <w:t>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w:t>
      </w:r>
      <w:r>
        <w:rPr>
          <w:rFonts w:hint="eastAsia" w:ascii="宋体" w:hAnsi="Courier New"/>
          <w:b w:val="0"/>
          <w:bCs w:val="0"/>
          <w:color w:val="auto"/>
          <w:sz w:val="21"/>
          <w:szCs w:val="20"/>
          <w:highlight w:val="none"/>
        </w:rPr>
        <w:t>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40"/>
    </w:p>
    <w:p>
      <w:pPr>
        <w:spacing w:beforeLines="50" w:afterLines="50" w:line="360" w:lineRule="exact"/>
        <w:ind w:firstLine="420" w:firstLineChars="200"/>
        <w:rPr>
          <w:rFonts w:ascii="宋体" w:hAnsi="宋体" w:cs="Courier New"/>
          <w:color w:val="auto"/>
          <w:szCs w:val="21"/>
          <w:highlight w:val="none"/>
        </w:rPr>
      </w:pPr>
      <w:r>
        <w:rPr>
          <w:rFonts w:ascii="宋体" w:hAnsi="宋体"/>
          <w:color w:val="auto"/>
          <w:szCs w:val="21"/>
          <w:highlight w:val="none"/>
        </w:rPr>
        <w:br w:type="page"/>
      </w:r>
    </w:p>
    <w:p>
      <w:pPr>
        <w:pStyle w:val="3"/>
        <w:jc w:val="center"/>
        <w:rPr>
          <w:color w:val="auto"/>
          <w:highlight w:val="none"/>
        </w:rPr>
      </w:pPr>
      <w:bookmarkStart w:id="41" w:name="_Toc32649_WPSOffice_Level1"/>
      <w:bookmarkStart w:id="42" w:name="_Toc5766"/>
      <w:bookmarkStart w:id="43" w:name="_Toc393040191"/>
      <w:r>
        <w:rPr>
          <w:rFonts w:hint="eastAsia"/>
          <w:color w:val="auto"/>
          <w:highlight w:val="none"/>
        </w:rPr>
        <w:t>第五章响应文件格式</w:t>
      </w:r>
      <w:bookmarkEnd w:id="41"/>
      <w:bookmarkEnd w:id="42"/>
      <w:bookmarkEnd w:id="43"/>
    </w:p>
    <w:p>
      <w:pPr>
        <w:spacing w:line="240" w:lineRule="atLeast"/>
        <w:jc w:val="center"/>
        <w:rPr>
          <w:rFonts w:ascii="宋体" w:hAnsi="宋体"/>
          <w:b/>
          <w:color w:val="auto"/>
          <w:sz w:val="32"/>
          <w:szCs w:val="32"/>
          <w:highlight w:val="none"/>
        </w:rPr>
      </w:pPr>
    </w:p>
    <w:p>
      <w:pPr>
        <w:spacing w:line="240" w:lineRule="atLeast"/>
        <w:jc w:val="center"/>
        <w:rPr>
          <w:rFonts w:ascii="宋体" w:hAnsi="宋体"/>
          <w:b/>
          <w:color w:val="auto"/>
          <w:sz w:val="32"/>
          <w:szCs w:val="32"/>
          <w:highlight w:val="none"/>
        </w:rPr>
      </w:pPr>
      <w:bookmarkStart w:id="44" w:name="_Toc16788_WPSOffice_Level2"/>
      <w:r>
        <w:rPr>
          <w:rFonts w:hint="eastAsia" w:ascii="宋体" w:hAnsi="宋体"/>
          <w:b/>
          <w:color w:val="auto"/>
          <w:sz w:val="44"/>
          <w:szCs w:val="44"/>
          <w:highlight w:val="none"/>
        </w:rPr>
        <w:t>响应文件</w:t>
      </w:r>
      <w:r>
        <w:rPr>
          <w:rFonts w:hint="eastAsia" w:ascii="宋体" w:hAnsi="宋体"/>
          <w:color w:val="auto"/>
          <w:szCs w:val="21"/>
          <w:highlight w:val="none"/>
        </w:rPr>
        <w:t>(封面）</w:t>
      </w:r>
      <w:bookmarkEnd w:id="44"/>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p>
    <w:p>
      <w:pPr>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采购项目编号：</w:t>
      </w:r>
    </w:p>
    <w:p>
      <w:pPr>
        <w:tabs>
          <w:tab w:val="left" w:pos="3240"/>
        </w:tabs>
        <w:spacing w:line="360" w:lineRule="auto"/>
        <w:jc w:val="left"/>
        <w:rPr>
          <w:rFonts w:ascii="宋体" w:hAnsi="宋体"/>
          <w:color w:val="auto"/>
          <w:szCs w:val="21"/>
          <w:highlight w:val="none"/>
          <w:u w:val="single"/>
        </w:rPr>
      </w:pPr>
      <w:r>
        <w:rPr>
          <w:rFonts w:hint="eastAsia" w:ascii="宋体" w:hAnsi="宋体"/>
          <w:color w:val="auto"/>
          <w:szCs w:val="21"/>
          <w:highlight w:val="none"/>
        </w:rPr>
        <w:t>采购项目名称：</w:t>
      </w:r>
    </w:p>
    <w:p>
      <w:pPr>
        <w:tabs>
          <w:tab w:val="left" w:pos="2625"/>
        </w:tabs>
        <w:spacing w:line="360" w:lineRule="auto"/>
        <w:jc w:val="center"/>
        <w:rPr>
          <w:rFonts w:ascii="宋体" w:hAnsi="宋体"/>
          <w:color w:val="auto"/>
          <w:szCs w:val="21"/>
          <w:highlight w:val="none"/>
        </w:rPr>
      </w:pPr>
    </w:p>
    <w:p>
      <w:pPr>
        <w:tabs>
          <w:tab w:val="left" w:pos="2625"/>
        </w:tabs>
        <w:spacing w:line="360" w:lineRule="auto"/>
        <w:jc w:val="center"/>
        <w:rPr>
          <w:rFonts w:ascii="宋体" w:hAnsi="宋体"/>
          <w:color w:val="auto"/>
          <w:szCs w:val="21"/>
          <w:highlight w:val="none"/>
        </w:rPr>
      </w:pPr>
    </w:p>
    <w:p>
      <w:pPr>
        <w:spacing w:line="360" w:lineRule="auto"/>
        <w:jc w:val="center"/>
        <w:rPr>
          <w:rFonts w:ascii="宋体" w:hAnsi="宋体"/>
          <w:color w:val="auto"/>
          <w:szCs w:val="21"/>
          <w:highlight w:val="none"/>
        </w:rPr>
      </w:pPr>
      <w:r>
        <w:rPr>
          <w:rFonts w:hint="eastAsia" w:ascii="宋体" w:hAnsi="宋体"/>
          <w:color w:val="auto"/>
          <w:szCs w:val="21"/>
          <w:highlight w:val="none"/>
        </w:rPr>
        <w:t xml:space="preserve">                                        （供应商名称）</w:t>
      </w:r>
    </w:p>
    <w:p>
      <w:pPr>
        <w:spacing w:line="360" w:lineRule="auto"/>
        <w:ind w:firstLine="6111" w:firstLineChars="2910"/>
        <w:rPr>
          <w:rFonts w:ascii="宋体" w:hAnsi="宋体"/>
          <w:color w:val="auto"/>
          <w:szCs w:val="21"/>
          <w:highlight w:val="none"/>
        </w:rPr>
      </w:pPr>
      <w:r>
        <w:rPr>
          <w:rFonts w:hint="eastAsia" w:ascii="宋体" w:hAnsi="宋体"/>
          <w:color w:val="auto"/>
          <w:szCs w:val="21"/>
          <w:highlight w:val="none"/>
        </w:rPr>
        <w:t>年    月    日</w:t>
      </w: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 xml:space="preserve">附件一 </w:t>
      </w:r>
    </w:p>
    <w:p>
      <w:pPr>
        <w:spacing w:line="320" w:lineRule="exact"/>
        <w:rPr>
          <w:rFonts w:ascii="宋体" w:hAnsi="宋体"/>
          <w:color w:val="auto"/>
          <w:szCs w:val="21"/>
          <w:highlight w:val="none"/>
        </w:rPr>
      </w:pPr>
    </w:p>
    <w:p>
      <w:pPr>
        <w:spacing w:line="320" w:lineRule="exact"/>
        <w:jc w:val="center"/>
        <w:rPr>
          <w:rFonts w:ascii="宋体" w:hAnsi="宋体"/>
          <w:b/>
          <w:color w:val="auto"/>
          <w:sz w:val="32"/>
          <w:szCs w:val="32"/>
          <w:highlight w:val="none"/>
        </w:rPr>
      </w:pPr>
      <w:bookmarkStart w:id="45" w:name="_Toc11791_WPSOffice_Level2"/>
      <w:r>
        <w:rPr>
          <w:rFonts w:hint="eastAsia" w:ascii="宋体" w:hAnsi="宋体"/>
          <w:b/>
          <w:color w:val="auto"/>
          <w:sz w:val="32"/>
          <w:szCs w:val="32"/>
          <w:highlight w:val="none"/>
        </w:rPr>
        <w:t>谈  判  书</w:t>
      </w:r>
      <w:bookmarkEnd w:id="45"/>
    </w:p>
    <w:p>
      <w:pPr>
        <w:spacing w:line="320" w:lineRule="exact"/>
        <w:jc w:val="center"/>
        <w:rPr>
          <w:rFonts w:ascii="宋体" w:hAnsi="宋体"/>
          <w:b/>
          <w:color w:val="auto"/>
          <w:sz w:val="32"/>
          <w:szCs w:val="32"/>
          <w:highlight w:val="none"/>
        </w:rPr>
      </w:pPr>
    </w:p>
    <w:p>
      <w:pPr>
        <w:pStyle w:val="25"/>
        <w:spacing w:line="400" w:lineRule="exact"/>
        <w:rPr>
          <w:rFonts w:hAnsi="宋体"/>
          <w:color w:val="auto"/>
          <w:highlight w:val="none"/>
        </w:rPr>
      </w:pPr>
      <w:r>
        <w:rPr>
          <w:rFonts w:hint="eastAsia" w:hAnsi="宋体" w:cs="Times New Roman"/>
          <w:color w:val="auto"/>
          <w:highlight w:val="none"/>
        </w:rPr>
        <w:t>致____________(采购人)</w:t>
      </w:r>
      <w:r>
        <w:rPr>
          <w:rFonts w:hint="eastAsia" w:hAnsi="宋体"/>
          <w:color w:val="auto"/>
          <w:highlight w:val="none"/>
        </w:rPr>
        <w:t>：</w:t>
      </w:r>
    </w:p>
    <w:p>
      <w:pPr>
        <w:pStyle w:val="25"/>
        <w:spacing w:line="400" w:lineRule="exact"/>
        <w:ind w:firstLine="420" w:firstLineChars="200"/>
        <w:rPr>
          <w:rFonts w:hAnsi="宋体"/>
          <w:color w:val="auto"/>
          <w:highlight w:val="none"/>
        </w:rPr>
      </w:pPr>
      <w:r>
        <w:rPr>
          <w:rFonts w:hint="eastAsia" w:hAnsi="宋体"/>
          <w:color w:val="auto"/>
          <w:highlight w:val="none"/>
        </w:rPr>
        <w:t>依据贵方</w:t>
      </w:r>
      <w:r>
        <w:rPr>
          <w:rFonts w:hint="eastAsia" w:hAnsi="宋体"/>
          <w:color w:val="auto"/>
          <w:highlight w:val="none"/>
          <w:u w:val="single"/>
        </w:rPr>
        <w:t>（项目名称/文件编号）</w:t>
      </w:r>
      <w:r>
        <w:rPr>
          <w:rFonts w:hint="eastAsia" w:hAnsi="宋体"/>
          <w:color w:val="auto"/>
          <w:highlight w:val="none"/>
        </w:rPr>
        <w:t>项目采购的谈判邀请，我方</w:t>
      </w:r>
      <w:r>
        <w:rPr>
          <w:rFonts w:hint="eastAsia" w:hAnsi="宋体"/>
          <w:color w:val="auto"/>
          <w:highlight w:val="none"/>
          <w:u w:val="single"/>
        </w:rPr>
        <w:t>（姓名和职务）</w:t>
      </w:r>
      <w:r>
        <w:rPr>
          <w:rFonts w:hint="eastAsia" w:hAnsi="宋体"/>
          <w:color w:val="auto"/>
          <w:highlight w:val="none"/>
        </w:rPr>
        <w:t>经正式授权并代表供应商</w:t>
      </w:r>
      <w:r>
        <w:rPr>
          <w:rFonts w:hint="eastAsia" w:hAnsi="宋体"/>
          <w:color w:val="auto"/>
          <w:highlight w:val="none"/>
          <w:u w:val="single"/>
        </w:rPr>
        <w:t>（供应商名称、地址）</w:t>
      </w:r>
      <w:r>
        <w:rPr>
          <w:rFonts w:hint="eastAsia" w:hAnsi="宋体"/>
          <w:color w:val="auto"/>
          <w:highlight w:val="none"/>
        </w:rPr>
        <w:t>提交下述响应文件正本一份，副本份，包含下列内容：</w:t>
      </w:r>
    </w:p>
    <w:p>
      <w:pPr>
        <w:pStyle w:val="25"/>
        <w:spacing w:line="400" w:lineRule="exact"/>
        <w:ind w:firstLine="480"/>
        <w:rPr>
          <w:rFonts w:hAnsi="宋体"/>
          <w:color w:val="auto"/>
          <w:highlight w:val="none"/>
        </w:rPr>
      </w:pPr>
      <w:bookmarkStart w:id="46" w:name="_Toc16788_WPSOffice_Level3"/>
      <w:r>
        <w:rPr>
          <w:rFonts w:hint="eastAsia" w:hAnsi="宋体"/>
          <w:color w:val="auto"/>
          <w:highlight w:val="none"/>
        </w:rPr>
        <w:t>1. 报价表；</w:t>
      </w:r>
      <w:bookmarkEnd w:id="46"/>
    </w:p>
    <w:p>
      <w:pPr>
        <w:pStyle w:val="25"/>
        <w:spacing w:line="400" w:lineRule="exact"/>
        <w:ind w:firstLine="480"/>
        <w:rPr>
          <w:rFonts w:hAnsi="宋体"/>
          <w:color w:val="auto"/>
          <w:highlight w:val="none"/>
        </w:rPr>
      </w:pPr>
      <w:bookmarkStart w:id="47" w:name="_Toc11791_WPSOffice_Level3"/>
      <w:r>
        <w:rPr>
          <w:rFonts w:hint="eastAsia" w:hAnsi="宋体"/>
          <w:color w:val="auto"/>
          <w:highlight w:val="none"/>
        </w:rPr>
        <w:t>2. 服务响应偏离情况说明表；</w:t>
      </w:r>
      <w:bookmarkEnd w:id="47"/>
    </w:p>
    <w:p>
      <w:pPr>
        <w:pStyle w:val="25"/>
        <w:spacing w:line="400" w:lineRule="exact"/>
        <w:ind w:firstLine="480"/>
        <w:rPr>
          <w:rFonts w:hAnsi="宋体"/>
          <w:color w:val="auto"/>
          <w:highlight w:val="none"/>
        </w:rPr>
      </w:pPr>
      <w:bookmarkStart w:id="48" w:name="_Toc7592_WPSOffice_Level3"/>
      <w:r>
        <w:rPr>
          <w:rFonts w:hint="eastAsia" w:hAnsi="宋体"/>
          <w:color w:val="auto"/>
          <w:highlight w:val="none"/>
        </w:rPr>
        <w:t>3. 投入设备响应表；</w:t>
      </w:r>
      <w:bookmarkEnd w:id="48"/>
    </w:p>
    <w:p>
      <w:pPr>
        <w:pStyle w:val="25"/>
        <w:spacing w:line="400" w:lineRule="exact"/>
        <w:ind w:firstLine="480"/>
        <w:rPr>
          <w:rFonts w:hAnsi="宋体"/>
          <w:color w:val="auto"/>
          <w:highlight w:val="none"/>
        </w:rPr>
      </w:pPr>
      <w:bookmarkStart w:id="49" w:name="_Toc21805_WPSOffice_Level3"/>
      <w:r>
        <w:rPr>
          <w:rFonts w:hint="eastAsia" w:hAnsi="宋体"/>
          <w:color w:val="auto"/>
          <w:highlight w:val="none"/>
        </w:rPr>
        <w:t>4. 技术支持和服务方案；</w:t>
      </w:r>
      <w:bookmarkEnd w:id="49"/>
    </w:p>
    <w:p>
      <w:pPr>
        <w:pStyle w:val="25"/>
        <w:spacing w:line="400" w:lineRule="exact"/>
        <w:ind w:firstLine="480"/>
        <w:rPr>
          <w:rFonts w:hAnsi="宋体"/>
          <w:color w:val="auto"/>
          <w:highlight w:val="none"/>
        </w:rPr>
      </w:pPr>
      <w:bookmarkStart w:id="50" w:name="_Toc27486_WPSOffice_Level3"/>
      <w:r>
        <w:rPr>
          <w:rFonts w:hint="eastAsia" w:hAnsi="宋体"/>
          <w:color w:val="auto"/>
          <w:highlight w:val="none"/>
        </w:rPr>
        <w:t>5. 按谈判采购文件供应商须知和服务需求及要求提供的有关文件；</w:t>
      </w:r>
      <w:bookmarkEnd w:id="50"/>
    </w:p>
    <w:p>
      <w:pPr>
        <w:pStyle w:val="25"/>
        <w:spacing w:line="400" w:lineRule="exact"/>
        <w:ind w:firstLine="480"/>
        <w:rPr>
          <w:rFonts w:hAnsi="宋体"/>
          <w:color w:val="auto"/>
          <w:highlight w:val="none"/>
        </w:rPr>
      </w:pPr>
      <w:bookmarkStart w:id="51" w:name="_Toc17277_WPSOffice_Level3"/>
      <w:r>
        <w:rPr>
          <w:rFonts w:hint="eastAsia" w:hAnsi="宋体"/>
          <w:color w:val="auto"/>
          <w:highlight w:val="none"/>
        </w:rPr>
        <w:t>6. 资格证明文件；</w:t>
      </w:r>
      <w:bookmarkEnd w:id="51"/>
    </w:p>
    <w:p>
      <w:pPr>
        <w:pStyle w:val="25"/>
        <w:spacing w:line="400" w:lineRule="exact"/>
        <w:ind w:firstLine="420" w:firstLineChars="200"/>
        <w:rPr>
          <w:rFonts w:hAnsi="宋体"/>
          <w:color w:val="auto"/>
          <w:highlight w:val="none"/>
        </w:rPr>
      </w:pPr>
      <w:r>
        <w:rPr>
          <w:rFonts w:hint="eastAsia" w:hAnsi="宋体"/>
          <w:color w:val="auto"/>
          <w:highlight w:val="none"/>
        </w:rPr>
        <w:t>在此，授权代表宣布同意如下：</w:t>
      </w:r>
    </w:p>
    <w:p>
      <w:pPr>
        <w:pStyle w:val="25"/>
        <w:spacing w:line="400" w:lineRule="exact"/>
        <w:ind w:firstLine="420" w:firstLineChars="200"/>
        <w:rPr>
          <w:rFonts w:hAnsi="宋体"/>
          <w:color w:val="auto"/>
          <w:highlight w:val="none"/>
        </w:rPr>
      </w:pPr>
      <w:r>
        <w:rPr>
          <w:rFonts w:hint="eastAsia" w:hAnsi="宋体"/>
          <w:color w:val="auto"/>
          <w:highlight w:val="none"/>
        </w:rPr>
        <w:t>1.响应文件有效期：；</w:t>
      </w:r>
    </w:p>
    <w:p>
      <w:pPr>
        <w:pStyle w:val="25"/>
        <w:spacing w:line="400" w:lineRule="exact"/>
        <w:ind w:firstLine="420" w:firstLineChars="200"/>
        <w:rPr>
          <w:rFonts w:hAnsi="宋体"/>
          <w:color w:val="auto"/>
          <w:highlight w:val="none"/>
        </w:rPr>
      </w:pPr>
      <w:r>
        <w:rPr>
          <w:rFonts w:hint="eastAsia" w:hAnsi="宋体"/>
          <w:color w:val="auto"/>
          <w:highlight w:val="none"/>
        </w:rPr>
        <w:t>2. 将按谈判采购文件的约定履行合同责任和义务；</w:t>
      </w:r>
    </w:p>
    <w:p>
      <w:pPr>
        <w:pStyle w:val="25"/>
        <w:spacing w:line="400" w:lineRule="exact"/>
        <w:ind w:firstLine="420" w:firstLineChars="200"/>
        <w:rPr>
          <w:rFonts w:hAnsi="宋体"/>
          <w:color w:val="auto"/>
          <w:highlight w:val="none"/>
        </w:rPr>
      </w:pPr>
      <w:r>
        <w:rPr>
          <w:rFonts w:hint="eastAsia" w:hAnsi="宋体"/>
          <w:color w:val="auto"/>
          <w:highlight w:val="none"/>
        </w:rPr>
        <w:t>3. 已详细审查全部谈判采购文件，包括</w:t>
      </w:r>
      <w:r>
        <w:rPr>
          <w:rFonts w:hint="eastAsia" w:hAnsi="宋体"/>
          <w:color w:val="auto"/>
          <w:highlight w:val="none"/>
          <w:u w:val="single"/>
        </w:rPr>
        <w:t>（补遗文件）（如果有的话）</w:t>
      </w:r>
      <w:r>
        <w:rPr>
          <w:rFonts w:hint="eastAsia" w:hAnsi="宋体"/>
          <w:color w:val="auto"/>
          <w:highlight w:val="none"/>
        </w:rPr>
        <w:t>；我们完全理解并同意放弃对这方面有不明及误解的权力；</w:t>
      </w:r>
    </w:p>
    <w:p>
      <w:pPr>
        <w:pStyle w:val="25"/>
        <w:spacing w:line="400" w:lineRule="exact"/>
        <w:ind w:firstLine="420" w:firstLineChars="200"/>
        <w:rPr>
          <w:rFonts w:hAnsi="宋体"/>
          <w:color w:val="auto"/>
          <w:highlight w:val="none"/>
        </w:rPr>
      </w:pPr>
      <w:r>
        <w:rPr>
          <w:rFonts w:hint="eastAsia" w:hAnsi="宋体"/>
          <w:color w:val="auto"/>
          <w:highlight w:val="none"/>
        </w:rPr>
        <w:t>4. 同意提供按照贵方可能要求的与其谈判有关的一切数据或资料；</w:t>
      </w:r>
    </w:p>
    <w:p>
      <w:pPr>
        <w:pStyle w:val="25"/>
        <w:spacing w:line="400" w:lineRule="exact"/>
        <w:ind w:firstLine="420" w:firstLineChars="200"/>
        <w:rPr>
          <w:rFonts w:hAnsi="宋体"/>
          <w:color w:val="auto"/>
          <w:highlight w:val="none"/>
        </w:rPr>
      </w:pPr>
      <w:r>
        <w:rPr>
          <w:rFonts w:hint="eastAsia" w:hAnsi="宋体"/>
          <w:color w:val="auto"/>
          <w:highlight w:val="none"/>
        </w:rPr>
        <w:t>5. 与本谈判有关的一切正式往来信函请寄：邮政编号：</w:t>
      </w:r>
    </w:p>
    <w:p>
      <w:pPr>
        <w:pStyle w:val="25"/>
        <w:spacing w:line="400" w:lineRule="exact"/>
        <w:ind w:firstLine="840"/>
        <w:rPr>
          <w:rFonts w:hAnsi="宋体"/>
          <w:color w:val="auto"/>
          <w:highlight w:val="none"/>
        </w:rPr>
      </w:pPr>
      <w:r>
        <w:rPr>
          <w:rFonts w:hint="eastAsia" w:hAnsi="宋体"/>
          <w:color w:val="auto"/>
          <w:highlight w:val="none"/>
        </w:rPr>
        <w:t>电话/传真： 电子函件：</w:t>
      </w:r>
    </w:p>
    <w:p>
      <w:pPr>
        <w:pStyle w:val="25"/>
        <w:spacing w:line="400" w:lineRule="exact"/>
        <w:ind w:firstLine="840"/>
        <w:rPr>
          <w:rFonts w:hAnsi="宋体"/>
          <w:color w:val="auto"/>
          <w:highlight w:val="none"/>
        </w:rPr>
      </w:pPr>
    </w:p>
    <w:p>
      <w:pPr>
        <w:pStyle w:val="25"/>
        <w:spacing w:line="400" w:lineRule="exact"/>
        <w:ind w:firstLine="840"/>
        <w:rPr>
          <w:rFonts w:hAnsi="宋体"/>
          <w:color w:val="auto"/>
          <w:highlight w:val="none"/>
          <w:u w:val="single"/>
        </w:rPr>
      </w:pPr>
      <w:r>
        <w:rPr>
          <w:rFonts w:hint="eastAsia" w:hAnsi="宋体"/>
          <w:color w:val="auto"/>
          <w:highlight w:val="none"/>
        </w:rPr>
        <w:t>法定代表人或被授权人签字：</w:t>
      </w:r>
    </w:p>
    <w:p>
      <w:pPr>
        <w:pStyle w:val="25"/>
        <w:spacing w:line="400" w:lineRule="exact"/>
        <w:ind w:firstLine="840"/>
        <w:rPr>
          <w:rFonts w:hAnsi="宋体"/>
          <w:color w:val="auto"/>
          <w:highlight w:val="none"/>
        </w:rPr>
      </w:pPr>
      <w:r>
        <w:rPr>
          <w:rFonts w:hint="eastAsia" w:hAnsi="宋体"/>
          <w:color w:val="auto"/>
          <w:highlight w:val="none"/>
        </w:rPr>
        <w:t>供应商名称（公章）：</w:t>
      </w:r>
    </w:p>
    <w:p>
      <w:pPr>
        <w:pStyle w:val="25"/>
        <w:spacing w:line="400" w:lineRule="exact"/>
        <w:ind w:firstLine="840"/>
        <w:rPr>
          <w:rFonts w:hAnsi="宋体"/>
          <w:color w:val="auto"/>
          <w:highlight w:val="none"/>
          <w:u w:val="single"/>
        </w:rPr>
      </w:pPr>
      <w:r>
        <w:rPr>
          <w:rFonts w:hint="eastAsia" w:hAnsi="宋体"/>
          <w:color w:val="auto"/>
          <w:highlight w:val="none"/>
        </w:rPr>
        <w:t>日期：      年   月   日</w:t>
      </w:r>
    </w:p>
    <w:p>
      <w:pPr>
        <w:pStyle w:val="25"/>
        <w:spacing w:line="400" w:lineRule="exact"/>
        <w:ind w:firstLine="840"/>
        <w:rPr>
          <w:rFonts w:hAnsi="宋体"/>
          <w:color w:val="auto"/>
          <w:highlight w:val="none"/>
        </w:rPr>
      </w:pPr>
    </w:p>
    <w:p>
      <w:pPr>
        <w:pStyle w:val="25"/>
        <w:spacing w:line="400" w:lineRule="exact"/>
        <w:ind w:firstLine="840"/>
        <w:rPr>
          <w:rFonts w:hAnsi="宋体"/>
          <w:color w:val="auto"/>
          <w:highlight w:val="none"/>
        </w:rPr>
      </w:pPr>
      <w:r>
        <w:rPr>
          <w:rFonts w:hint="eastAsia" w:hAnsi="宋体"/>
          <w:color w:val="auto"/>
          <w:highlight w:val="none"/>
        </w:rPr>
        <w:t>开户银行：帐号/行号：</w:t>
      </w: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color w:val="auto"/>
          <w:szCs w:val="21"/>
          <w:highlight w:val="none"/>
        </w:rPr>
      </w:pPr>
    </w:p>
    <w:p>
      <w:pPr>
        <w:spacing w:line="360" w:lineRule="exact"/>
        <w:rPr>
          <w:rFonts w:ascii="宋体" w:hAnsi="宋体"/>
          <w:b/>
          <w:color w:val="auto"/>
          <w:szCs w:val="21"/>
          <w:highlight w:val="none"/>
        </w:rPr>
      </w:pPr>
      <w:r>
        <w:rPr>
          <w:rFonts w:ascii="宋体" w:hAnsi="宋体"/>
          <w:color w:val="auto"/>
          <w:szCs w:val="21"/>
          <w:highlight w:val="none"/>
        </w:rPr>
        <w:br w:type="page"/>
      </w:r>
      <w:r>
        <w:rPr>
          <w:rFonts w:hint="eastAsia" w:ascii="宋体" w:hAnsi="宋体"/>
          <w:b/>
          <w:color w:val="auto"/>
          <w:szCs w:val="21"/>
          <w:highlight w:val="none"/>
        </w:rPr>
        <w:t xml:space="preserve">附件二             </w:t>
      </w:r>
    </w:p>
    <w:p>
      <w:pPr>
        <w:spacing w:line="300" w:lineRule="auto"/>
        <w:jc w:val="center"/>
        <w:rPr>
          <w:rFonts w:ascii="宋体" w:hAnsi="宋体"/>
          <w:b/>
          <w:color w:val="auto"/>
          <w:sz w:val="32"/>
          <w:szCs w:val="32"/>
          <w:highlight w:val="none"/>
        </w:rPr>
      </w:pPr>
      <w:bookmarkStart w:id="52" w:name="_Toc7592_WPSOffice_Level2"/>
      <w:r>
        <w:rPr>
          <w:rFonts w:hint="eastAsia" w:ascii="宋体" w:hAnsi="宋体"/>
          <w:b/>
          <w:color w:val="auto"/>
          <w:sz w:val="32"/>
          <w:szCs w:val="32"/>
          <w:highlight w:val="none"/>
        </w:rPr>
        <w:t>报  价  表</w:t>
      </w:r>
      <w:bookmarkEnd w:id="52"/>
    </w:p>
    <w:p>
      <w:pPr>
        <w:spacing w:line="300" w:lineRule="auto"/>
        <w:rPr>
          <w:rFonts w:ascii="宋体" w:hAnsi="宋体"/>
          <w:color w:val="auto"/>
          <w:szCs w:val="21"/>
          <w:highlight w:val="none"/>
        </w:rPr>
      </w:pPr>
    </w:p>
    <w:p>
      <w:pPr>
        <w:spacing w:line="400" w:lineRule="exact"/>
        <w:rPr>
          <w:rFonts w:ascii="宋体" w:hAnsi="宋体"/>
          <w:color w:val="auto"/>
          <w:szCs w:val="21"/>
          <w:highlight w:val="none"/>
          <w:u w:val="single"/>
        </w:rPr>
      </w:pPr>
      <w:r>
        <w:rPr>
          <w:rFonts w:hint="eastAsia" w:ascii="宋体" w:hAnsi="宋体"/>
          <w:color w:val="auto"/>
          <w:szCs w:val="21"/>
          <w:highlight w:val="none"/>
        </w:rPr>
        <w:t>采购项目编号:</w:t>
      </w:r>
    </w:p>
    <w:p>
      <w:pPr>
        <w:spacing w:line="400" w:lineRule="exact"/>
        <w:rPr>
          <w:rFonts w:ascii="宋体" w:hAnsi="宋体"/>
          <w:color w:val="auto"/>
          <w:szCs w:val="21"/>
          <w:highlight w:val="none"/>
        </w:rPr>
      </w:pPr>
      <w:r>
        <w:rPr>
          <w:rFonts w:hint="eastAsia" w:ascii="宋体" w:hAnsi="宋体"/>
          <w:color w:val="auto"/>
          <w:szCs w:val="21"/>
          <w:highlight w:val="none"/>
        </w:rPr>
        <w:t>采购项目名称:</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color w:val="auto"/>
          <w:highlight w:val="none"/>
          <w:u w:val="single"/>
        </w:rPr>
        <w:t>　　</w:t>
      </w:r>
      <w:r>
        <w:rPr>
          <w:rFonts w:hint="eastAsia"/>
          <w:color w:val="auto"/>
          <w:highlight w:val="none"/>
        </w:rPr>
        <w:t>分标（有分标时填写）</w:t>
      </w:r>
    </w:p>
    <w:tbl>
      <w:tblPr>
        <w:tblStyle w:val="49"/>
        <w:tblW w:w="9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7"/>
        <w:gridCol w:w="2987"/>
        <w:gridCol w:w="1030"/>
        <w:gridCol w:w="40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项号</w:t>
            </w:r>
          </w:p>
        </w:tc>
        <w:tc>
          <w:tcPr>
            <w:tcW w:w="298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ascii="宋体" w:hAnsi="宋体"/>
                <w:b/>
                <w:color w:val="auto"/>
                <w:szCs w:val="21"/>
                <w:highlight w:val="none"/>
              </w:rPr>
              <w:t>服务</w:t>
            </w:r>
            <w:r>
              <w:rPr>
                <w:rFonts w:hint="eastAsia" w:ascii="宋体" w:hAnsi="宋体"/>
                <w:b/>
                <w:color w:val="auto"/>
                <w:szCs w:val="21"/>
                <w:highlight w:val="none"/>
              </w:rPr>
              <w:t>名称</w:t>
            </w: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数量</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b/>
                <w:color w:val="auto"/>
                <w:szCs w:val="21"/>
                <w:highlight w:val="none"/>
              </w:rPr>
            </w:pPr>
            <w:r>
              <w:rPr>
                <w:rFonts w:hint="eastAsia" w:ascii="宋体" w:hAnsi="宋体"/>
                <w:b/>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94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9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Cs w:val="21"/>
                <w:highlight w:val="none"/>
              </w:rPr>
            </w:pPr>
          </w:p>
        </w:tc>
        <w:tc>
          <w:tcPr>
            <w:tcW w:w="1030"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1项</w:t>
            </w:r>
          </w:p>
        </w:tc>
        <w:tc>
          <w:tcPr>
            <w:tcW w:w="403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0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hAnsi="宋体"/>
                <w:color w:val="auto"/>
                <w:szCs w:val="21"/>
                <w:highlight w:val="none"/>
              </w:rPr>
            </w:pPr>
            <w:r>
              <w:rPr>
                <w:rFonts w:hint="eastAsia" w:ascii="宋体" w:hAnsi="宋体"/>
                <w:color w:val="auto"/>
                <w:szCs w:val="21"/>
                <w:highlight w:val="none"/>
              </w:rPr>
              <w:t>服务期：</w:t>
            </w:r>
          </w:p>
        </w:tc>
      </w:tr>
    </w:tbl>
    <w:p>
      <w:pPr>
        <w:pStyle w:val="25"/>
        <w:rPr>
          <w:b/>
          <w:color w:val="auto"/>
          <w:highlight w:val="none"/>
        </w:rPr>
      </w:pPr>
    </w:p>
    <w:p>
      <w:pPr>
        <w:pStyle w:val="25"/>
        <w:spacing w:line="400" w:lineRule="exact"/>
        <w:rPr>
          <w:rFonts w:hAnsi="宋体"/>
          <w:color w:val="auto"/>
          <w:highlight w:val="none"/>
        </w:rPr>
      </w:pPr>
      <w:bookmarkStart w:id="53" w:name="_Toc356165644"/>
      <w:bookmarkStart w:id="54" w:name="_Toc356979893"/>
    </w:p>
    <w:p>
      <w:pPr>
        <w:pStyle w:val="25"/>
        <w:rPr>
          <w:color w:val="auto"/>
          <w:highlight w:val="none"/>
        </w:rPr>
      </w:pPr>
      <w:r>
        <w:rPr>
          <w:rFonts w:hint="eastAsia"/>
          <w:color w:val="auto"/>
          <w:highlight w:val="none"/>
        </w:rPr>
        <w:t>......</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法定代表人或委托代理人签字：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日 期：</w:t>
      </w:r>
    </w:p>
    <w:p>
      <w:pPr>
        <w:rPr>
          <w:color w:val="auto"/>
          <w:highlight w:val="none"/>
        </w:rPr>
      </w:pPr>
    </w:p>
    <w:p>
      <w:pPr>
        <w:rPr>
          <w:color w:val="auto"/>
          <w:highlight w:val="none"/>
        </w:rPr>
      </w:pPr>
    </w:p>
    <w:p>
      <w:pPr>
        <w:rPr>
          <w:color w:val="auto"/>
          <w:highlight w:val="none"/>
        </w:rPr>
      </w:pPr>
    </w:p>
    <w:p>
      <w:pPr>
        <w:rPr>
          <w:color w:val="auto"/>
          <w:highlight w:val="none"/>
        </w:rPr>
      </w:pPr>
    </w:p>
    <w:bookmarkEnd w:id="53"/>
    <w:bookmarkEnd w:id="54"/>
    <w:p>
      <w:pPr>
        <w:spacing w:line="300" w:lineRule="auto"/>
        <w:rPr>
          <w:rFonts w:ascii="宋体" w:hAnsi="宋体"/>
          <w:b/>
          <w:color w:val="auto"/>
          <w:szCs w:val="21"/>
          <w:highlight w:val="none"/>
        </w:rPr>
      </w:pPr>
      <w:r>
        <w:rPr>
          <w:rFonts w:ascii="宋体" w:hAnsi="宋体"/>
          <w:b/>
          <w:color w:val="auto"/>
          <w:szCs w:val="21"/>
          <w:highlight w:val="none"/>
        </w:rPr>
        <w:br w:type="page"/>
      </w:r>
      <w:r>
        <w:rPr>
          <w:rFonts w:hint="eastAsia" w:ascii="宋体" w:hAnsi="宋体"/>
          <w:b/>
          <w:color w:val="auto"/>
          <w:szCs w:val="21"/>
          <w:highlight w:val="none"/>
        </w:rPr>
        <w:t>附件三</w:t>
      </w:r>
    </w:p>
    <w:p>
      <w:pPr>
        <w:spacing w:line="300" w:lineRule="auto"/>
        <w:jc w:val="center"/>
        <w:rPr>
          <w:rFonts w:ascii="宋体" w:hAnsi="宋体"/>
          <w:b/>
          <w:color w:val="auto"/>
          <w:sz w:val="32"/>
          <w:szCs w:val="32"/>
          <w:highlight w:val="none"/>
        </w:rPr>
      </w:pPr>
      <w:bookmarkStart w:id="55" w:name="_Toc21805_WPSOffice_Level2"/>
      <w:r>
        <w:rPr>
          <w:rFonts w:hint="eastAsia" w:ascii="宋体" w:hAnsi="宋体"/>
          <w:b/>
          <w:color w:val="auto"/>
          <w:sz w:val="32"/>
          <w:szCs w:val="32"/>
          <w:highlight w:val="none"/>
        </w:rPr>
        <w:t>服务响应偏离情况说明表</w:t>
      </w:r>
      <w:bookmarkEnd w:id="55"/>
    </w:p>
    <w:p>
      <w:pPr>
        <w:spacing w:line="300" w:lineRule="auto"/>
        <w:rPr>
          <w:rFonts w:ascii="宋体" w:hAnsi="宋体"/>
          <w:color w:val="auto"/>
          <w:szCs w:val="21"/>
          <w:highlight w:val="none"/>
        </w:rPr>
      </w:pP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pPr>
        <w:pStyle w:val="25"/>
        <w:spacing w:line="600" w:lineRule="exact"/>
        <w:rPr>
          <w:rFonts w:hAnsi="宋体"/>
          <w:color w:val="auto"/>
          <w:highlight w:val="none"/>
        </w:rPr>
      </w:pPr>
      <w:r>
        <w:rPr>
          <w:rFonts w:hint="eastAsia" w:hAnsi="宋体"/>
          <w:color w:val="auto"/>
          <w:highlight w:val="none"/>
        </w:rPr>
        <w:t>采购项目名称:</w:t>
      </w:r>
    </w:p>
    <w:p>
      <w:pPr>
        <w:pStyle w:val="25"/>
        <w:spacing w:line="600" w:lineRule="exact"/>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316"/>
        <w:gridCol w:w="2256"/>
        <w:gridCol w:w="2256"/>
        <w:gridCol w:w="118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项号</w:t>
            </w:r>
          </w:p>
        </w:tc>
        <w:tc>
          <w:tcPr>
            <w:tcW w:w="131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服务名称</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服务要求</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竞标响应情况</w:t>
            </w:r>
          </w:p>
        </w:tc>
        <w:tc>
          <w:tcPr>
            <w:tcW w:w="1188"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偏离</w:t>
            </w:r>
          </w:p>
        </w:tc>
        <w:tc>
          <w:tcPr>
            <w:tcW w:w="1145"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2" w:type="dxa"/>
            <w:vAlign w:val="center"/>
          </w:tcPr>
          <w:p>
            <w:pPr>
              <w:pStyle w:val="25"/>
              <w:spacing w:line="360" w:lineRule="auto"/>
              <w:jc w:val="center"/>
              <w:rPr>
                <w:rFonts w:hAnsi="宋体" w:cs="Times New Roman"/>
                <w:color w:val="auto"/>
                <w:highlight w:val="none"/>
              </w:rPr>
            </w:pPr>
          </w:p>
        </w:tc>
        <w:tc>
          <w:tcPr>
            <w:tcW w:w="131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5" w:type="dxa"/>
            <w:vAlign w:val="center"/>
          </w:tcPr>
          <w:p>
            <w:pPr>
              <w:pStyle w:val="25"/>
              <w:spacing w:line="360" w:lineRule="auto"/>
              <w:jc w:val="center"/>
              <w:rPr>
                <w:rFonts w:hAnsi="宋体" w:cs="MingLiU_HKSCS"/>
                <w:color w:val="auto"/>
                <w:highlight w:val="none"/>
              </w:rPr>
            </w:pPr>
          </w:p>
        </w:tc>
      </w:tr>
    </w:tbl>
    <w:p>
      <w:pPr>
        <w:pStyle w:val="25"/>
        <w:spacing w:line="400" w:lineRule="exact"/>
        <w:rPr>
          <w:color w:val="auto"/>
          <w:highlight w:val="none"/>
        </w:rPr>
      </w:pPr>
      <w:r>
        <w:rPr>
          <w:rFonts w:hint="eastAsia" w:hAnsi="宋体"/>
          <w:color w:val="auto"/>
          <w:highlight w:val="none"/>
        </w:rPr>
        <w:t>说明：应对照谈判采购文件“第三章 项目需求”，逐条说明所提供货物或服务已对谈判采购文件的技术需求做出了实质性的响应，并申明与技术需求条文的响应和偏离。</w:t>
      </w:r>
    </w:p>
    <w:p>
      <w:pPr>
        <w:pStyle w:val="25"/>
        <w:spacing w:line="400" w:lineRule="exact"/>
        <w:rPr>
          <w:rFonts w:hAnsi="宋体"/>
          <w:color w:val="auto"/>
          <w:highlight w:val="none"/>
        </w:rPr>
      </w:pPr>
    </w:p>
    <w:p>
      <w:pPr>
        <w:pStyle w:val="25"/>
        <w:spacing w:line="600" w:lineRule="exact"/>
        <w:rPr>
          <w:rFonts w:ascii="Times New Roman" w:hAnsi="Times New Roman"/>
          <w:color w:val="auto"/>
          <w:highlight w:val="none"/>
        </w:rPr>
      </w:pPr>
      <w:r>
        <w:rPr>
          <w:rFonts w:hint="eastAsia" w:ascii="Times New Roman" w:hAnsi="Times New Roman"/>
          <w:color w:val="auto"/>
          <w:highlight w:val="none"/>
          <w:u w:val="single"/>
        </w:rPr>
        <w:t>　　</w:t>
      </w:r>
      <w:r>
        <w:rPr>
          <w:rFonts w:hint="eastAsia" w:ascii="Times New Roman" w:hAnsi="Times New Roman"/>
          <w:color w:val="auto"/>
          <w:highlight w:val="none"/>
        </w:rPr>
        <w:t>分标</w:t>
      </w:r>
      <w:r>
        <w:rPr>
          <w:rFonts w:hint="eastAsia"/>
          <w:color w:val="auto"/>
          <w:highlight w:val="none"/>
        </w:rPr>
        <w:t>（有分标时填写）</w:t>
      </w:r>
    </w:p>
    <w:p>
      <w:pPr>
        <w:pStyle w:val="25"/>
        <w:rPr>
          <w:color w:val="auto"/>
          <w:highlight w:val="none"/>
        </w:rPr>
      </w:pPr>
      <w:r>
        <w:rPr>
          <w:rFonts w:hint="eastAsia"/>
          <w:color w:val="auto"/>
          <w:highlight w:val="none"/>
        </w:rPr>
        <w:t>......</w:t>
      </w:r>
    </w:p>
    <w:p>
      <w:pPr>
        <w:pStyle w:val="25"/>
        <w:spacing w:line="360" w:lineRule="auto"/>
        <w:rPr>
          <w:rFonts w:hAnsi="宋体" w:cs="Times New Roman"/>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r>
        <w:rPr>
          <w:rFonts w:hint="eastAsia" w:hAnsi="宋体"/>
          <w:color w:val="auto"/>
          <w:highlight w:val="none"/>
        </w:rPr>
        <w:t>法定代表人或被授权人（签字）:</w:t>
      </w:r>
    </w:p>
    <w:p>
      <w:pPr>
        <w:pStyle w:val="25"/>
        <w:spacing w:line="300" w:lineRule="auto"/>
        <w:rPr>
          <w:rFonts w:hAnsi="宋体"/>
          <w:color w:val="auto"/>
          <w:highlight w:val="none"/>
        </w:rPr>
      </w:pPr>
    </w:p>
    <w:p>
      <w:pPr>
        <w:pStyle w:val="25"/>
        <w:spacing w:line="300" w:lineRule="auto"/>
        <w:rPr>
          <w:rFonts w:hAnsi="宋体"/>
          <w:color w:val="auto"/>
          <w:highlight w:val="none"/>
        </w:rPr>
      </w:pPr>
      <w:r>
        <w:rPr>
          <w:rFonts w:hint="eastAsia" w:hAnsi="宋体"/>
          <w:color w:val="auto"/>
          <w:highlight w:val="none"/>
        </w:rPr>
        <w:t>供应商名称（公章）：</w:t>
      </w:r>
    </w:p>
    <w:p>
      <w:pPr>
        <w:pStyle w:val="25"/>
        <w:spacing w:line="300" w:lineRule="auto"/>
        <w:rPr>
          <w:rFonts w:hAnsi="宋体"/>
          <w:color w:val="auto"/>
          <w:highlight w:val="none"/>
        </w:rPr>
      </w:pPr>
    </w:p>
    <w:p>
      <w:pPr>
        <w:pStyle w:val="25"/>
        <w:spacing w:line="300" w:lineRule="auto"/>
        <w:rPr>
          <w:rFonts w:hAnsi="宋体"/>
          <w:color w:val="auto"/>
          <w:highlight w:val="none"/>
        </w:rPr>
      </w:pPr>
      <w:r>
        <w:rPr>
          <w:rFonts w:hint="eastAsia" w:hAnsi="宋体"/>
          <w:color w:val="auto"/>
          <w:highlight w:val="none"/>
        </w:rPr>
        <w:t xml:space="preserve">日 期：    年   月   日 </w:t>
      </w: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color w:val="auto"/>
          <w:szCs w:val="21"/>
          <w:highlight w:val="none"/>
        </w:rPr>
      </w:pPr>
    </w:p>
    <w:p>
      <w:pPr>
        <w:spacing w:line="300" w:lineRule="auto"/>
        <w:rPr>
          <w:rFonts w:ascii="宋体" w:hAnsi="宋体"/>
          <w:b/>
          <w:color w:val="auto"/>
          <w:szCs w:val="21"/>
          <w:highlight w:val="none"/>
        </w:rPr>
      </w:pPr>
      <w:r>
        <w:rPr>
          <w:rFonts w:ascii="宋体" w:hAnsi="宋体"/>
          <w:color w:val="auto"/>
          <w:szCs w:val="21"/>
          <w:highlight w:val="none"/>
        </w:rPr>
        <w:br w:type="page"/>
      </w:r>
    </w:p>
    <w:p>
      <w:pPr>
        <w:spacing w:line="300" w:lineRule="auto"/>
        <w:rPr>
          <w:rFonts w:ascii="宋体" w:hAnsi="宋体"/>
          <w:b/>
          <w:color w:val="auto"/>
          <w:szCs w:val="21"/>
          <w:highlight w:val="none"/>
        </w:rPr>
      </w:pPr>
      <w:bookmarkStart w:id="56" w:name="_Toc27486_WPSOffice_Level2"/>
      <w:r>
        <w:rPr>
          <w:rFonts w:hint="eastAsia" w:ascii="宋体" w:hAnsi="宋体"/>
          <w:b/>
          <w:color w:val="auto"/>
          <w:szCs w:val="21"/>
          <w:highlight w:val="none"/>
        </w:rPr>
        <w:t>附件四：</w:t>
      </w:r>
      <w:bookmarkEnd w:id="56"/>
    </w:p>
    <w:p>
      <w:pPr>
        <w:spacing w:line="300" w:lineRule="auto"/>
        <w:rPr>
          <w:rFonts w:ascii="宋体" w:hAnsi="宋体"/>
          <w:b/>
          <w:color w:val="auto"/>
          <w:szCs w:val="21"/>
          <w:highlight w:val="none"/>
        </w:rPr>
      </w:pPr>
    </w:p>
    <w:p>
      <w:pPr>
        <w:spacing w:line="300" w:lineRule="auto"/>
        <w:jc w:val="center"/>
        <w:rPr>
          <w:rFonts w:ascii="宋体" w:hAnsi="宋体"/>
          <w:b/>
          <w:color w:val="auto"/>
          <w:sz w:val="32"/>
          <w:szCs w:val="32"/>
          <w:highlight w:val="none"/>
        </w:rPr>
      </w:pPr>
      <w:bookmarkStart w:id="57" w:name="_Toc17277_WPSOffice_Level2"/>
      <w:r>
        <w:rPr>
          <w:rFonts w:hint="eastAsia" w:ascii="宋体" w:hAnsi="宋体"/>
          <w:b/>
          <w:color w:val="auto"/>
          <w:sz w:val="32"/>
          <w:szCs w:val="32"/>
          <w:highlight w:val="none"/>
        </w:rPr>
        <w:t>投入设备响应表</w:t>
      </w:r>
      <w:bookmarkEnd w:id="57"/>
    </w:p>
    <w:p>
      <w:pPr>
        <w:spacing w:line="300" w:lineRule="auto"/>
        <w:rPr>
          <w:rFonts w:ascii="宋体" w:hAnsi="宋体"/>
          <w:color w:val="auto"/>
          <w:szCs w:val="21"/>
          <w:highlight w:val="none"/>
        </w:rPr>
      </w:pPr>
    </w:p>
    <w:p>
      <w:pPr>
        <w:spacing w:line="300" w:lineRule="auto"/>
        <w:rPr>
          <w:rFonts w:ascii="宋体" w:hAnsi="宋体"/>
          <w:color w:val="auto"/>
          <w:szCs w:val="21"/>
          <w:highlight w:val="none"/>
          <w:u w:val="single"/>
        </w:rPr>
      </w:pPr>
      <w:r>
        <w:rPr>
          <w:rFonts w:hint="eastAsia" w:ascii="宋体" w:hAnsi="宋体"/>
          <w:color w:val="auto"/>
          <w:szCs w:val="21"/>
          <w:highlight w:val="none"/>
        </w:rPr>
        <w:t>采购项目编号:</w:t>
      </w:r>
    </w:p>
    <w:p>
      <w:pPr>
        <w:spacing w:line="300" w:lineRule="auto"/>
        <w:rPr>
          <w:rFonts w:ascii="宋体" w:hAnsi="宋体"/>
          <w:color w:val="auto"/>
          <w:szCs w:val="21"/>
          <w:highlight w:val="none"/>
        </w:rPr>
      </w:pPr>
      <w:r>
        <w:rPr>
          <w:rFonts w:hint="eastAsia" w:ascii="宋体" w:hAnsi="宋体"/>
          <w:color w:val="auto"/>
          <w:szCs w:val="21"/>
          <w:highlight w:val="none"/>
        </w:rPr>
        <w:t>采购项目名称:</w:t>
      </w:r>
    </w:p>
    <w:tbl>
      <w:tblPr>
        <w:tblStyle w:val="4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676"/>
        <w:gridCol w:w="1896"/>
        <w:gridCol w:w="2256"/>
        <w:gridCol w:w="1188"/>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项号</w:t>
            </w:r>
          </w:p>
        </w:tc>
        <w:tc>
          <w:tcPr>
            <w:tcW w:w="167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投入设备名称</w:t>
            </w:r>
          </w:p>
        </w:tc>
        <w:tc>
          <w:tcPr>
            <w:tcW w:w="189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采购文件要求</w:t>
            </w:r>
          </w:p>
        </w:tc>
        <w:tc>
          <w:tcPr>
            <w:tcW w:w="2256"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竞标响应情况</w:t>
            </w:r>
          </w:p>
        </w:tc>
        <w:tc>
          <w:tcPr>
            <w:tcW w:w="1188"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偏离</w:t>
            </w:r>
          </w:p>
        </w:tc>
        <w:tc>
          <w:tcPr>
            <w:tcW w:w="1143" w:type="dxa"/>
            <w:vAlign w:val="center"/>
          </w:tcPr>
          <w:p>
            <w:pPr>
              <w:pStyle w:val="25"/>
              <w:spacing w:line="360" w:lineRule="auto"/>
              <w:jc w:val="center"/>
              <w:rPr>
                <w:rFonts w:hAnsi="宋体" w:cs="Times New Roman"/>
                <w:color w:val="auto"/>
                <w:highlight w:val="none"/>
              </w:rPr>
            </w:pPr>
            <w:r>
              <w:rPr>
                <w:rFonts w:hint="eastAsia" w:hAnsi="宋体" w:cs="Times New Roman"/>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4" w:type="dxa"/>
            <w:vAlign w:val="center"/>
          </w:tcPr>
          <w:p>
            <w:pPr>
              <w:pStyle w:val="25"/>
              <w:spacing w:line="360" w:lineRule="auto"/>
              <w:jc w:val="center"/>
              <w:rPr>
                <w:rFonts w:hAnsi="宋体" w:cs="Times New Roman"/>
                <w:color w:val="auto"/>
                <w:highlight w:val="none"/>
              </w:rPr>
            </w:pPr>
          </w:p>
        </w:tc>
        <w:tc>
          <w:tcPr>
            <w:tcW w:w="1676" w:type="dxa"/>
            <w:vAlign w:val="center"/>
          </w:tcPr>
          <w:p>
            <w:pPr>
              <w:pStyle w:val="25"/>
              <w:spacing w:line="360" w:lineRule="auto"/>
              <w:jc w:val="center"/>
              <w:rPr>
                <w:rFonts w:hAnsi="宋体" w:cs="Times New Roman"/>
                <w:color w:val="auto"/>
                <w:highlight w:val="none"/>
              </w:rPr>
            </w:pPr>
          </w:p>
        </w:tc>
        <w:tc>
          <w:tcPr>
            <w:tcW w:w="1896" w:type="dxa"/>
            <w:vAlign w:val="center"/>
          </w:tcPr>
          <w:p>
            <w:pPr>
              <w:pStyle w:val="25"/>
              <w:spacing w:line="360" w:lineRule="auto"/>
              <w:jc w:val="center"/>
              <w:rPr>
                <w:rFonts w:hAnsi="宋体" w:cs="Times New Roman"/>
                <w:color w:val="auto"/>
                <w:highlight w:val="none"/>
              </w:rPr>
            </w:pPr>
          </w:p>
        </w:tc>
        <w:tc>
          <w:tcPr>
            <w:tcW w:w="2256" w:type="dxa"/>
            <w:vAlign w:val="center"/>
          </w:tcPr>
          <w:p>
            <w:pPr>
              <w:pStyle w:val="25"/>
              <w:spacing w:line="360" w:lineRule="auto"/>
              <w:jc w:val="center"/>
              <w:rPr>
                <w:rFonts w:hAnsi="宋体" w:cs="Times New Roman"/>
                <w:color w:val="auto"/>
                <w:highlight w:val="none"/>
              </w:rPr>
            </w:pPr>
          </w:p>
        </w:tc>
        <w:tc>
          <w:tcPr>
            <w:tcW w:w="1188" w:type="dxa"/>
            <w:vAlign w:val="center"/>
          </w:tcPr>
          <w:p>
            <w:pPr>
              <w:pStyle w:val="25"/>
              <w:spacing w:line="360" w:lineRule="auto"/>
              <w:jc w:val="center"/>
              <w:rPr>
                <w:rFonts w:hAnsi="宋体" w:cs="Times New Roman"/>
                <w:color w:val="auto"/>
                <w:highlight w:val="none"/>
              </w:rPr>
            </w:pPr>
          </w:p>
        </w:tc>
        <w:tc>
          <w:tcPr>
            <w:tcW w:w="1143" w:type="dxa"/>
            <w:vAlign w:val="center"/>
          </w:tcPr>
          <w:p>
            <w:pPr>
              <w:pStyle w:val="25"/>
              <w:spacing w:line="360" w:lineRule="auto"/>
              <w:jc w:val="center"/>
              <w:rPr>
                <w:rFonts w:hAnsi="宋体" w:cs="MingLiU_HKSCS"/>
                <w:color w:val="auto"/>
                <w:highlight w:val="none"/>
              </w:rPr>
            </w:pPr>
          </w:p>
        </w:tc>
      </w:tr>
    </w:tbl>
    <w:p>
      <w:pPr>
        <w:pStyle w:val="25"/>
        <w:rPr>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300" w:lineRule="auto"/>
        <w:rPr>
          <w:rFonts w:hAnsi="宋体"/>
          <w:color w:val="auto"/>
          <w:highlight w:val="none"/>
        </w:rPr>
      </w:pP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法定代表人或被授权人（签字）:</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供应商名称（公章）：</w:t>
      </w:r>
    </w:p>
    <w:p>
      <w:pPr>
        <w:pStyle w:val="25"/>
        <w:spacing w:line="400" w:lineRule="exact"/>
        <w:rPr>
          <w:rFonts w:hAnsi="宋体"/>
          <w:color w:val="auto"/>
          <w:highlight w:val="none"/>
        </w:rPr>
      </w:pPr>
    </w:p>
    <w:p>
      <w:pPr>
        <w:pStyle w:val="25"/>
        <w:spacing w:line="400" w:lineRule="exact"/>
        <w:rPr>
          <w:rFonts w:hAnsi="宋体"/>
          <w:color w:val="auto"/>
          <w:highlight w:val="none"/>
        </w:rPr>
      </w:pPr>
      <w:r>
        <w:rPr>
          <w:rFonts w:hint="eastAsia" w:hAnsi="宋体"/>
          <w:color w:val="auto"/>
          <w:highlight w:val="none"/>
        </w:rPr>
        <w:t xml:space="preserve">日 期：    年   月   日 </w:t>
      </w:r>
    </w:p>
    <w:p>
      <w:pPr>
        <w:spacing w:line="300" w:lineRule="auto"/>
        <w:jc w:val="center"/>
        <w:rPr>
          <w:rFonts w:ascii="宋体" w:hAnsi="宋体"/>
          <w:color w:val="auto"/>
          <w:szCs w:val="21"/>
          <w:highlight w:val="none"/>
          <w:u w:val="single"/>
        </w:rPr>
      </w:pPr>
      <w:r>
        <w:rPr>
          <w:rFonts w:ascii="宋体" w:hAnsi="宋体"/>
          <w:color w:val="auto"/>
          <w:szCs w:val="21"/>
          <w:highlight w:val="none"/>
        </w:rPr>
        <w:br w:type="page"/>
      </w:r>
      <w:bookmarkStart w:id="58" w:name="_Toc14397_WPSOffice_Level2"/>
      <w:r>
        <w:rPr>
          <w:rFonts w:ascii="宋体" w:hAnsi="宋体"/>
          <w:b/>
          <w:color w:val="auto"/>
          <w:sz w:val="32"/>
          <w:szCs w:val="32"/>
          <w:highlight w:val="none"/>
        </w:rPr>
        <w:t>服务承诺</w:t>
      </w:r>
      <w:bookmarkEnd w:id="58"/>
    </w:p>
    <w:p>
      <w:pPr>
        <w:spacing w:line="300" w:lineRule="auto"/>
        <w:jc w:val="center"/>
        <w:rPr>
          <w:rFonts w:ascii="宋体" w:hAnsi="宋体"/>
          <w:b/>
          <w:color w:val="auto"/>
          <w:szCs w:val="21"/>
          <w:highlight w:val="none"/>
        </w:rPr>
      </w:pPr>
      <w:r>
        <w:rPr>
          <w:rFonts w:hint="eastAsia" w:ascii="宋体" w:hAnsi="宋体"/>
          <w:color w:val="auto"/>
          <w:szCs w:val="21"/>
          <w:highlight w:val="none"/>
        </w:rPr>
        <w:t>（请结合第三章“项目需求”中的服务内容要求及承诺内容要求自行编写）</w:t>
      </w:r>
    </w:p>
    <w:p>
      <w:pPr>
        <w:spacing w:line="300" w:lineRule="auto"/>
        <w:rPr>
          <w:rFonts w:ascii="宋体" w:hAnsi="宋体"/>
          <w:b/>
          <w:color w:val="auto"/>
          <w:szCs w:val="21"/>
          <w:highlight w:val="none"/>
        </w:rPr>
      </w:pPr>
      <w:r>
        <w:rPr>
          <w:rFonts w:ascii="宋体" w:hAnsi="宋体"/>
          <w:b/>
          <w:color w:val="auto"/>
          <w:szCs w:val="21"/>
          <w:highlight w:val="none"/>
        </w:rPr>
        <w:br w:type="page"/>
      </w:r>
    </w:p>
    <w:p>
      <w:pPr>
        <w:spacing w:line="300" w:lineRule="auto"/>
        <w:rPr>
          <w:rFonts w:ascii="宋体" w:hAnsi="宋体"/>
          <w:b/>
          <w:color w:val="auto"/>
          <w:szCs w:val="21"/>
          <w:highlight w:val="none"/>
        </w:rPr>
      </w:pPr>
      <w:r>
        <w:rPr>
          <w:rFonts w:hint="eastAsia" w:ascii="宋体" w:hAnsi="宋体"/>
          <w:b/>
          <w:color w:val="auto"/>
          <w:szCs w:val="21"/>
          <w:highlight w:val="none"/>
        </w:rPr>
        <w:t>附件五</w:t>
      </w:r>
    </w:p>
    <w:p>
      <w:pPr>
        <w:pStyle w:val="25"/>
        <w:spacing w:line="440" w:lineRule="exact"/>
        <w:jc w:val="center"/>
        <w:rPr>
          <w:b/>
          <w:color w:val="auto"/>
          <w:sz w:val="32"/>
          <w:szCs w:val="32"/>
          <w:highlight w:val="none"/>
        </w:rPr>
      </w:pPr>
      <w:bookmarkStart w:id="59" w:name="_Toc15131_WPSOffice_Level2"/>
      <w:r>
        <w:rPr>
          <w:rFonts w:hint="eastAsia"/>
          <w:b/>
          <w:color w:val="auto"/>
          <w:sz w:val="32"/>
          <w:szCs w:val="32"/>
          <w:highlight w:val="none"/>
        </w:rPr>
        <w:t>法定代表人身份证明书</w:t>
      </w:r>
      <w:bookmarkEnd w:id="59"/>
    </w:p>
    <w:p>
      <w:pPr>
        <w:pStyle w:val="25"/>
        <w:spacing w:line="460" w:lineRule="exact"/>
        <w:ind w:firstLine="542" w:firstLineChars="257"/>
        <w:jc w:val="center"/>
        <w:rPr>
          <w:b/>
          <w:color w:val="auto"/>
          <w:highlight w:val="none"/>
        </w:rPr>
      </w:pPr>
    </w:p>
    <w:p>
      <w:pPr>
        <w:spacing w:line="500" w:lineRule="exact"/>
        <w:rPr>
          <w:rFonts w:ascii="宋体" w:hAnsi="宋体"/>
          <w:color w:val="auto"/>
          <w:szCs w:val="21"/>
          <w:highlight w:val="none"/>
        </w:rPr>
      </w:pPr>
      <w:r>
        <w:rPr>
          <w:rFonts w:hint="eastAsia" w:ascii="宋体" w:hAnsi="宋体"/>
          <w:color w:val="auto"/>
          <w:szCs w:val="21"/>
          <w:highlight w:val="none"/>
        </w:rPr>
        <w:t>供应商：</w:t>
      </w:r>
    </w:p>
    <w:p>
      <w:pPr>
        <w:spacing w:line="500" w:lineRule="exact"/>
        <w:rPr>
          <w:rFonts w:ascii="宋体" w:hAnsi="宋体"/>
          <w:color w:val="auto"/>
          <w:szCs w:val="21"/>
          <w:highlight w:val="none"/>
        </w:rPr>
      </w:pPr>
      <w:r>
        <w:rPr>
          <w:rFonts w:hint="eastAsia" w:ascii="宋体" w:hAnsi="宋体"/>
          <w:color w:val="auto"/>
          <w:szCs w:val="21"/>
          <w:highlight w:val="none"/>
        </w:rPr>
        <w:t>单位性质：</w:t>
      </w:r>
    </w:p>
    <w:p>
      <w:pPr>
        <w:spacing w:line="500" w:lineRule="exact"/>
        <w:rPr>
          <w:rFonts w:ascii="宋体" w:hAnsi="宋体"/>
          <w:color w:val="auto"/>
          <w:szCs w:val="21"/>
          <w:highlight w:val="none"/>
        </w:rPr>
      </w:pPr>
      <w:r>
        <w:rPr>
          <w:rFonts w:hint="eastAsia" w:ascii="宋体" w:hAnsi="宋体"/>
          <w:color w:val="auto"/>
          <w:szCs w:val="21"/>
          <w:highlight w:val="none"/>
        </w:rPr>
        <w:t>地    址：</w:t>
      </w:r>
    </w:p>
    <w:p>
      <w:pPr>
        <w:spacing w:line="500" w:lineRule="exact"/>
        <w:rPr>
          <w:rFonts w:ascii="宋体" w:hAnsi="宋体"/>
          <w:color w:val="auto"/>
          <w:szCs w:val="21"/>
          <w:highlight w:val="none"/>
        </w:rPr>
      </w:pPr>
      <w:r>
        <w:rPr>
          <w:rFonts w:hint="eastAsia" w:ascii="宋体" w:hAnsi="宋体"/>
          <w:color w:val="auto"/>
          <w:szCs w:val="21"/>
          <w:highlight w:val="none"/>
        </w:rPr>
        <w:t>成立时间：      年   月   日</w:t>
      </w:r>
    </w:p>
    <w:p>
      <w:pPr>
        <w:spacing w:line="500" w:lineRule="exact"/>
        <w:rPr>
          <w:rFonts w:ascii="宋体" w:hAnsi="宋体"/>
          <w:color w:val="auto"/>
          <w:szCs w:val="21"/>
          <w:highlight w:val="none"/>
        </w:rPr>
      </w:pPr>
      <w:r>
        <w:rPr>
          <w:rFonts w:hint="eastAsia" w:ascii="宋体" w:hAnsi="宋体"/>
          <w:color w:val="auto"/>
          <w:szCs w:val="21"/>
          <w:highlight w:val="none"/>
        </w:rPr>
        <w:t>经营期限：</w:t>
      </w:r>
    </w:p>
    <w:p>
      <w:pPr>
        <w:spacing w:line="500" w:lineRule="exact"/>
        <w:rPr>
          <w:rFonts w:ascii="宋体" w:hAnsi="宋体"/>
          <w:color w:val="auto"/>
          <w:szCs w:val="21"/>
          <w:highlight w:val="none"/>
        </w:rPr>
      </w:pPr>
      <w:r>
        <w:rPr>
          <w:rFonts w:hint="eastAsia" w:ascii="宋体" w:hAnsi="宋体"/>
          <w:color w:val="auto"/>
          <w:szCs w:val="21"/>
          <w:highlight w:val="none"/>
        </w:rPr>
        <w:t>姓    名：性      别：</w:t>
      </w:r>
    </w:p>
    <w:p>
      <w:pPr>
        <w:spacing w:line="500" w:lineRule="exact"/>
        <w:rPr>
          <w:rFonts w:ascii="宋体" w:hAnsi="宋体"/>
          <w:color w:val="auto"/>
          <w:szCs w:val="21"/>
          <w:highlight w:val="none"/>
          <w:u w:val="single"/>
        </w:rPr>
      </w:pPr>
      <w:r>
        <w:rPr>
          <w:rFonts w:hint="eastAsia" w:ascii="宋体" w:hAnsi="宋体"/>
          <w:color w:val="auto"/>
          <w:szCs w:val="21"/>
          <w:highlight w:val="none"/>
        </w:rPr>
        <w:t>年    龄：职      务：</w:t>
      </w:r>
    </w:p>
    <w:p>
      <w:pPr>
        <w:spacing w:line="500" w:lineRule="exact"/>
        <w:rPr>
          <w:rFonts w:ascii="宋体" w:hAnsi="宋体"/>
          <w:color w:val="auto"/>
          <w:szCs w:val="21"/>
          <w:highlight w:val="none"/>
        </w:rPr>
      </w:pPr>
      <w:r>
        <w:rPr>
          <w:rFonts w:hint="eastAsia" w:ascii="宋体" w:hAnsi="宋体"/>
          <w:color w:val="auto"/>
          <w:szCs w:val="21"/>
          <w:highlight w:val="none"/>
        </w:rPr>
        <w:t>身份证</w:t>
      </w:r>
      <w:r>
        <w:rPr>
          <w:rFonts w:hint="eastAsia"/>
          <w:color w:val="auto"/>
          <w:szCs w:val="21"/>
          <w:highlight w:val="none"/>
        </w:rPr>
        <w:t>号码：</w:t>
      </w:r>
    </w:p>
    <w:p>
      <w:pPr>
        <w:spacing w:line="500" w:lineRule="exact"/>
        <w:rPr>
          <w:rFonts w:ascii="宋体" w:hAnsi="宋体"/>
          <w:color w:val="auto"/>
          <w:szCs w:val="21"/>
          <w:highlight w:val="none"/>
        </w:rPr>
      </w:pPr>
      <w:r>
        <w:rPr>
          <w:rFonts w:hint="eastAsia" w:ascii="宋体" w:hAnsi="宋体"/>
          <w:color w:val="auto"/>
          <w:szCs w:val="21"/>
          <w:highlight w:val="none"/>
        </w:rPr>
        <w:t>系（供应商名称）的法定代表人。</w:t>
      </w:r>
    </w:p>
    <w:p>
      <w:pPr>
        <w:pStyle w:val="25"/>
        <w:spacing w:line="460" w:lineRule="exact"/>
        <w:ind w:firstLine="539" w:firstLineChars="257"/>
        <w:rPr>
          <w:rFonts w:hAnsi="宋体"/>
          <w:color w:val="auto"/>
          <w:highlight w:val="none"/>
        </w:rPr>
      </w:pPr>
      <w:r>
        <w:rPr>
          <w:rFonts w:hint="eastAsia" w:hAnsi="宋体"/>
          <w:color w:val="auto"/>
          <w:highlight w:val="none"/>
        </w:rPr>
        <w:t>特此证明。</w:t>
      </w:r>
    </w:p>
    <w:p>
      <w:pPr>
        <w:spacing w:line="500" w:lineRule="exact"/>
        <w:ind w:left="540"/>
        <w:rPr>
          <w:rFonts w:ascii="宋体" w:hAnsi="宋体"/>
          <w:color w:val="auto"/>
          <w:szCs w:val="21"/>
          <w:highlight w:val="none"/>
        </w:rPr>
      </w:pPr>
      <w:r>
        <w:rPr>
          <w:rFonts w:hint="eastAsia"/>
          <w:color w:val="auto"/>
          <w:highlight w:val="none"/>
        </w:rPr>
        <w:t>附：法定代表人有效的身份证正反面复印件</w:t>
      </w:r>
    </w:p>
    <w:p>
      <w:pPr>
        <w:pStyle w:val="25"/>
        <w:spacing w:line="360" w:lineRule="auto"/>
        <w:rPr>
          <w:rFonts w:hAnsi="宋体" w:cs="MingLiU_HKSCS"/>
          <w:color w:val="auto"/>
          <w:highlight w:val="none"/>
        </w:rPr>
      </w:pP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MingLiU_HKSCS"/>
                <w:color w:val="auto"/>
                <w:highlight w:val="none"/>
              </w:rPr>
              <w:t>法定代表人身份证正反面复印件</w:t>
            </w:r>
          </w:p>
          <w:p>
            <w:pPr>
              <w:pStyle w:val="25"/>
              <w:spacing w:line="360" w:lineRule="auto"/>
              <w:jc w:val="center"/>
              <w:rPr>
                <w:rFonts w:hAnsi="宋体" w:cs="MingLiU_HKSCS"/>
                <w:color w:val="auto"/>
                <w:highlight w:val="none"/>
              </w:rPr>
            </w:pPr>
          </w:p>
        </w:tc>
      </w:tr>
    </w:tbl>
    <w:p>
      <w:pPr>
        <w:pStyle w:val="25"/>
        <w:wordWrap w:val="0"/>
        <w:spacing w:line="460" w:lineRule="exact"/>
        <w:ind w:firstLine="539" w:firstLineChars="257"/>
        <w:jc w:val="right"/>
        <w:rPr>
          <w:color w:val="auto"/>
          <w:highlight w:val="none"/>
        </w:rPr>
      </w:pPr>
    </w:p>
    <w:p>
      <w:pPr>
        <w:pStyle w:val="25"/>
        <w:spacing w:line="460" w:lineRule="exact"/>
        <w:ind w:firstLine="4004" w:firstLineChars="1907"/>
        <w:jc w:val="left"/>
        <w:rPr>
          <w:color w:val="auto"/>
          <w:highlight w:val="none"/>
        </w:rPr>
      </w:pPr>
      <w:r>
        <w:rPr>
          <w:rFonts w:hint="eastAsia"/>
          <w:color w:val="auto"/>
          <w:highlight w:val="none"/>
        </w:rPr>
        <w:t>供应商：（盖单位公章）</w:t>
      </w:r>
    </w:p>
    <w:p>
      <w:pPr>
        <w:pStyle w:val="25"/>
        <w:spacing w:line="460" w:lineRule="exact"/>
        <w:ind w:firstLine="539" w:firstLineChars="257"/>
        <w:rPr>
          <w:color w:val="auto"/>
          <w:highlight w:val="none"/>
        </w:rPr>
      </w:pPr>
    </w:p>
    <w:p>
      <w:pPr>
        <w:pStyle w:val="25"/>
        <w:spacing w:line="460" w:lineRule="exact"/>
        <w:ind w:firstLine="525" w:firstLineChars="250"/>
        <w:jc w:val="right"/>
        <w:rPr>
          <w:color w:val="auto"/>
          <w:highlight w:val="none"/>
        </w:rPr>
      </w:pPr>
      <w:r>
        <w:rPr>
          <w:rFonts w:hint="eastAsia"/>
          <w:color w:val="auto"/>
          <w:highlight w:val="none"/>
        </w:rPr>
        <w:t>日期：   年    月    日</w:t>
      </w:r>
    </w:p>
    <w:p>
      <w:pPr>
        <w:pStyle w:val="25"/>
        <w:spacing w:line="460" w:lineRule="exact"/>
        <w:rPr>
          <w:color w:val="auto"/>
          <w:highlight w:val="none"/>
        </w:rPr>
      </w:pPr>
    </w:p>
    <w:p>
      <w:pPr>
        <w:pStyle w:val="25"/>
        <w:spacing w:line="460" w:lineRule="exact"/>
        <w:rPr>
          <w:color w:val="auto"/>
          <w:highlight w:val="none"/>
        </w:rPr>
      </w:pPr>
    </w:p>
    <w:p>
      <w:pPr>
        <w:spacing w:line="300" w:lineRule="auto"/>
        <w:rPr>
          <w:rFonts w:ascii="宋体" w:hAnsi="宋体"/>
          <w:b/>
          <w:color w:val="auto"/>
          <w:szCs w:val="21"/>
          <w:highlight w:val="none"/>
        </w:rPr>
      </w:pPr>
      <w:r>
        <w:rPr>
          <w:rFonts w:hint="eastAsia"/>
          <w:color w:val="auto"/>
          <w:szCs w:val="21"/>
          <w:highlight w:val="none"/>
        </w:rPr>
        <w:t>附注：如法定代表人亲自参加开标会议的，须提供法定代表人身份证明书、法人代表身份证。</w:t>
      </w:r>
    </w:p>
    <w:p>
      <w:pPr>
        <w:spacing w:line="300" w:lineRule="auto"/>
        <w:rPr>
          <w:rFonts w:ascii="宋体" w:hAnsi="宋体"/>
          <w:b/>
          <w:color w:val="auto"/>
          <w:szCs w:val="21"/>
          <w:highlight w:val="none"/>
        </w:rPr>
      </w:pPr>
      <w:r>
        <w:rPr>
          <w:rFonts w:ascii="宋体" w:hAnsi="宋体"/>
          <w:b/>
          <w:color w:val="auto"/>
          <w:szCs w:val="21"/>
          <w:highlight w:val="none"/>
        </w:rPr>
        <w:br w:type="page"/>
      </w:r>
    </w:p>
    <w:p>
      <w:pPr>
        <w:adjustRightInd w:val="0"/>
        <w:snapToGrid w:val="0"/>
        <w:spacing w:line="300" w:lineRule="auto"/>
        <w:jc w:val="center"/>
        <w:rPr>
          <w:rFonts w:ascii="宋体" w:hAnsi="宋体"/>
          <w:b/>
          <w:color w:val="auto"/>
          <w:sz w:val="32"/>
          <w:szCs w:val="32"/>
          <w:highlight w:val="none"/>
        </w:rPr>
      </w:pPr>
      <w:bookmarkStart w:id="60" w:name="_Toc17879_WPSOffice_Level2"/>
      <w:r>
        <w:rPr>
          <w:rFonts w:hint="eastAsia" w:ascii="宋体" w:hAnsi="宋体"/>
          <w:b/>
          <w:color w:val="auto"/>
          <w:sz w:val="32"/>
          <w:szCs w:val="32"/>
          <w:highlight w:val="none"/>
        </w:rPr>
        <w:t>法定代表人授权书</w:t>
      </w:r>
      <w:bookmarkEnd w:id="60"/>
    </w:p>
    <w:p>
      <w:pPr>
        <w:adjustRightInd w:val="0"/>
        <w:snapToGrid w:val="0"/>
        <w:spacing w:line="300" w:lineRule="auto"/>
        <w:rPr>
          <w:rFonts w:ascii="宋体" w:hAnsi="宋体"/>
          <w:color w:val="auto"/>
          <w:szCs w:val="21"/>
          <w:highlight w:val="none"/>
        </w:rPr>
      </w:pPr>
    </w:p>
    <w:p>
      <w:pPr>
        <w:snapToGrid w:val="0"/>
        <w:spacing w:beforeLines="50" w:after="50"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________(供应商名称)的法定代表人________(姓名、职务)授权________(供应商代表姓名、职务)为本公司的投标人代表，就</w:t>
      </w:r>
      <w:r>
        <w:rPr>
          <w:rFonts w:hint="eastAsia" w:ascii="宋体" w:hAnsi="宋体"/>
          <w:color w:val="auto"/>
          <w:szCs w:val="21"/>
          <w:highlight w:val="none"/>
          <w:u w:val="single"/>
        </w:rPr>
        <w:t>___  ___</w:t>
      </w:r>
      <w:r>
        <w:rPr>
          <w:rFonts w:hint="eastAsia" w:ascii="宋体" w:hAnsi="宋体"/>
          <w:color w:val="auto"/>
          <w:szCs w:val="21"/>
          <w:highlight w:val="none"/>
        </w:rPr>
        <w:t>(项目名称及编号)投标及相关事务代表本公司处理与之有关的一切事务。</w:t>
      </w:r>
    </w:p>
    <w:p>
      <w:pPr>
        <w:snapToGrid w:val="0"/>
        <w:spacing w:beforeLines="50" w:after="50" w:line="360" w:lineRule="auto"/>
        <w:jc w:val="left"/>
        <w:rPr>
          <w:rFonts w:ascii="宋体" w:hAnsi="宋体"/>
          <w:color w:val="auto"/>
          <w:szCs w:val="21"/>
          <w:highlight w:val="none"/>
        </w:rPr>
      </w:pP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委托期限：____________________。</w:t>
      </w: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代理人无转委托权。</w:t>
      </w:r>
    </w:p>
    <w:p>
      <w:pPr>
        <w:snapToGrid w:val="0"/>
        <w:spacing w:beforeLines="50" w:after="50" w:line="360" w:lineRule="auto"/>
        <w:jc w:val="left"/>
        <w:rPr>
          <w:rFonts w:ascii="宋体" w:hAnsi="宋体"/>
          <w:color w:val="auto"/>
          <w:szCs w:val="21"/>
          <w:highlight w:val="none"/>
        </w:rPr>
      </w:pPr>
      <w:r>
        <w:rPr>
          <w:rFonts w:hint="eastAsia" w:ascii="宋体" w:hAnsi="宋体"/>
          <w:color w:val="auto"/>
          <w:szCs w:val="21"/>
          <w:highlight w:val="none"/>
        </w:rPr>
        <w:t>本授权书于______年____月____日签字生效，特此声明。</w:t>
      </w:r>
    </w:p>
    <w:p>
      <w:pPr>
        <w:pStyle w:val="25"/>
        <w:spacing w:line="360" w:lineRule="auto"/>
        <w:rPr>
          <w:rFonts w:hAnsi="宋体" w:cs="MingLiU_HKSCS"/>
          <w:color w:val="auto"/>
          <w:highlight w:val="none"/>
        </w:rPr>
      </w:pPr>
    </w:p>
    <w:p>
      <w:pPr>
        <w:pStyle w:val="25"/>
        <w:spacing w:line="360" w:lineRule="auto"/>
        <w:rPr>
          <w:rFonts w:hAnsi="宋体" w:cs="MingLiU_HKSCS"/>
          <w:color w:val="auto"/>
          <w:highlight w:val="none"/>
        </w:rPr>
      </w:pPr>
      <w:r>
        <w:rPr>
          <w:rFonts w:hint="eastAsia" w:hAnsi="宋体" w:cs="MingLiU_HKSCS"/>
          <w:color w:val="auto"/>
          <w:highlight w:val="none"/>
        </w:rPr>
        <w:t>附：法定代表人身份证及被授权人有效身份证正反面复印件</w:t>
      </w: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MingLiU_HKSCS"/>
                <w:color w:val="auto"/>
                <w:highlight w:val="none"/>
              </w:rPr>
              <w:t>法定代表人身份证正反面复印件</w:t>
            </w:r>
          </w:p>
          <w:p>
            <w:pPr>
              <w:pStyle w:val="25"/>
              <w:spacing w:line="360" w:lineRule="auto"/>
              <w:jc w:val="center"/>
              <w:rPr>
                <w:rFonts w:hAnsi="宋体" w:cs="MingLiU_HKSCS"/>
                <w:color w:val="auto"/>
                <w:highlight w:val="none"/>
              </w:rPr>
            </w:pPr>
          </w:p>
        </w:tc>
      </w:tr>
    </w:tbl>
    <w:p>
      <w:pPr>
        <w:pStyle w:val="25"/>
        <w:spacing w:line="360" w:lineRule="auto"/>
        <w:ind w:firstLine="420" w:firstLineChars="200"/>
        <w:rPr>
          <w:rFonts w:hAnsi="宋体" w:cs="MingLiU_HKSCS"/>
          <w:color w:val="auto"/>
          <w:highlight w:val="none"/>
        </w:rPr>
      </w:pPr>
    </w:p>
    <w:p>
      <w:pPr>
        <w:pStyle w:val="25"/>
        <w:spacing w:line="360" w:lineRule="auto"/>
        <w:rPr>
          <w:rFonts w:hAnsi="宋体" w:cs="MingLiU_HKSCS"/>
          <w:color w:val="auto"/>
          <w:highlight w:val="none"/>
        </w:rPr>
      </w:pPr>
    </w:p>
    <w:tbl>
      <w:tblPr>
        <w:tblStyle w:val="4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25"/>
              <w:spacing w:line="360" w:lineRule="auto"/>
              <w:jc w:val="center"/>
              <w:rPr>
                <w:rFonts w:hAnsi="宋体" w:cs="MingLiU_HKSCS"/>
                <w:color w:val="auto"/>
                <w:highlight w:val="none"/>
              </w:rPr>
            </w:pPr>
          </w:p>
          <w:p>
            <w:pPr>
              <w:pStyle w:val="25"/>
              <w:spacing w:line="360" w:lineRule="auto"/>
              <w:jc w:val="center"/>
              <w:rPr>
                <w:rFonts w:hAnsi="宋体" w:cs="MingLiU_HKSCS"/>
                <w:color w:val="auto"/>
                <w:highlight w:val="none"/>
              </w:rPr>
            </w:pPr>
            <w:r>
              <w:rPr>
                <w:rFonts w:hint="eastAsia" w:hAnsi="宋体" w:cs="Times New Roman"/>
                <w:color w:val="auto"/>
                <w:highlight w:val="none"/>
              </w:rPr>
              <w:t>被</w:t>
            </w:r>
            <w:r>
              <w:rPr>
                <w:rFonts w:hint="eastAsia" w:hAnsi="宋体" w:cs="MingLiU_HKSCS"/>
                <w:color w:val="auto"/>
                <w:highlight w:val="none"/>
              </w:rPr>
              <w:t>授权代表身份证正反面复印件</w:t>
            </w:r>
          </w:p>
          <w:p>
            <w:pPr>
              <w:pStyle w:val="25"/>
              <w:spacing w:line="360" w:lineRule="auto"/>
              <w:jc w:val="center"/>
              <w:rPr>
                <w:rFonts w:hAnsi="宋体" w:cs="MingLiU_HKSCS"/>
                <w:color w:val="auto"/>
                <w:highlight w:val="none"/>
              </w:rPr>
            </w:pPr>
          </w:p>
        </w:tc>
      </w:tr>
    </w:tbl>
    <w:p>
      <w:pPr>
        <w:snapToGrid w:val="0"/>
        <w:spacing w:beforeLines="50" w:after="50"/>
        <w:rPr>
          <w:rFonts w:ascii="宋体" w:hAnsi="宋体"/>
          <w:color w:val="auto"/>
          <w:szCs w:val="21"/>
          <w:highlight w:val="none"/>
        </w:rPr>
      </w:pPr>
    </w:p>
    <w:p>
      <w:pPr>
        <w:snapToGrid w:val="0"/>
        <w:spacing w:beforeLines="50" w:after="50"/>
        <w:rPr>
          <w:rFonts w:ascii="宋体" w:hAnsi="宋体"/>
          <w:color w:val="auto"/>
          <w:szCs w:val="21"/>
          <w:highlight w:val="none"/>
          <w:u w:val="single"/>
        </w:rPr>
      </w:pPr>
      <w:r>
        <w:rPr>
          <w:rFonts w:hint="eastAsia" w:ascii="宋体" w:hAnsi="宋体"/>
          <w:color w:val="auto"/>
          <w:szCs w:val="21"/>
          <w:highlight w:val="none"/>
        </w:rPr>
        <w:t>被授权人签字：            法定代表人签字：</w:t>
      </w:r>
    </w:p>
    <w:p>
      <w:pPr>
        <w:snapToGrid w:val="0"/>
        <w:spacing w:beforeLines="50" w:after="50"/>
        <w:rPr>
          <w:rFonts w:ascii="宋体" w:hAnsi="宋体"/>
          <w:color w:val="auto"/>
          <w:szCs w:val="21"/>
          <w:highlight w:val="none"/>
        </w:rPr>
      </w:pPr>
      <w:r>
        <w:rPr>
          <w:rFonts w:hint="eastAsia" w:ascii="宋体" w:hAnsi="宋体"/>
          <w:color w:val="auto"/>
          <w:szCs w:val="21"/>
          <w:highlight w:val="none"/>
        </w:rPr>
        <w:t>所在部门职务：                      职务：</w:t>
      </w:r>
    </w:p>
    <w:p>
      <w:pPr>
        <w:snapToGrid w:val="0"/>
        <w:spacing w:beforeLines="50" w:after="50"/>
        <w:rPr>
          <w:rFonts w:ascii="宋体" w:hAnsi="宋体"/>
          <w:color w:val="auto"/>
          <w:szCs w:val="21"/>
          <w:highlight w:val="none"/>
        </w:rPr>
      </w:pPr>
      <w:r>
        <w:rPr>
          <w:rFonts w:hint="eastAsia" w:ascii="宋体" w:hAnsi="宋体"/>
          <w:color w:val="auto"/>
          <w:szCs w:val="21"/>
          <w:highlight w:val="none"/>
        </w:rPr>
        <w:t>被授权人身份证号码：</w:t>
      </w:r>
    </w:p>
    <w:p>
      <w:pPr>
        <w:snapToGrid w:val="0"/>
        <w:spacing w:beforeLines="50" w:after="50"/>
        <w:jc w:val="center"/>
        <w:rPr>
          <w:rFonts w:ascii="宋体" w:hAnsi="宋体"/>
          <w:color w:val="auto"/>
          <w:szCs w:val="21"/>
          <w:highlight w:val="none"/>
        </w:rPr>
      </w:pPr>
      <w:r>
        <w:rPr>
          <w:rFonts w:hint="eastAsia" w:ascii="宋体" w:hAnsi="宋体"/>
          <w:color w:val="auto"/>
          <w:szCs w:val="21"/>
          <w:highlight w:val="none"/>
        </w:rPr>
        <w:t xml:space="preserve">                                                供应商公章：</w:t>
      </w:r>
    </w:p>
    <w:p>
      <w:pPr>
        <w:pStyle w:val="25"/>
        <w:spacing w:line="460" w:lineRule="exact"/>
        <w:ind w:firstLine="525" w:firstLineChars="250"/>
        <w:jc w:val="right"/>
        <w:rPr>
          <w:color w:val="auto"/>
          <w:highlight w:val="none"/>
        </w:rPr>
      </w:pPr>
      <w:r>
        <w:rPr>
          <w:rFonts w:hint="eastAsia"/>
          <w:color w:val="auto"/>
          <w:highlight w:val="none"/>
        </w:rPr>
        <w:t>日期：   年    月    日</w:t>
      </w: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autoSpaceDE w:val="0"/>
        <w:autoSpaceDN w:val="0"/>
        <w:spacing w:line="300" w:lineRule="auto"/>
        <w:ind w:left="480" w:hanging="480"/>
        <w:rPr>
          <w:rFonts w:ascii="宋体" w:hAnsi="宋体"/>
          <w:color w:val="auto"/>
          <w:szCs w:val="21"/>
          <w:highlight w:val="none"/>
        </w:rPr>
      </w:pPr>
    </w:p>
    <w:p>
      <w:pPr>
        <w:pStyle w:val="3"/>
        <w:jc w:val="center"/>
        <w:rPr>
          <w:color w:val="auto"/>
          <w:sz w:val="36"/>
          <w:szCs w:val="36"/>
          <w:highlight w:val="none"/>
        </w:rPr>
      </w:pPr>
      <w:bookmarkStart w:id="61" w:name="_Toc18660_WPSOffice_Level1"/>
      <w:bookmarkStart w:id="62" w:name="_Toc777"/>
      <w:r>
        <w:rPr>
          <w:rFonts w:hint="eastAsia"/>
          <w:color w:val="auto"/>
          <w:highlight w:val="none"/>
        </w:rPr>
        <w:t>第六章合同主要条款</w:t>
      </w:r>
      <w:bookmarkEnd w:id="61"/>
      <w:bookmarkEnd w:id="62"/>
    </w:p>
    <w:p>
      <w:pPr>
        <w:spacing w:line="360" w:lineRule="auto"/>
        <w:jc w:val="center"/>
        <w:rPr>
          <w:rFonts w:ascii="宋体" w:hAnsi="宋体"/>
          <w:b/>
          <w:bCs/>
          <w:color w:val="auto"/>
          <w:sz w:val="36"/>
          <w:szCs w:val="36"/>
          <w:highlight w:val="none"/>
        </w:rPr>
      </w:pPr>
      <w:bookmarkStart w:id="63" w:name="_Toc9306_WPSOffice_Level1"/>
      <w:r>
        <w:rPr>
          <w:rFonts w:hint="eastAsia"/>
          <w:b/>
          <w:color w:val="auto"/>
          <w:sz w:val="36"/>
          <w:szCs w:val="36"/>
          <w:highlight w:val="none"/>
        </w:rPr>
        <w:t>采购合同书</w:t>
      </w:r>
      <w:bookmarkEnd w:id="63"/>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合同名称：</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合同编号：</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分标号（有分标时填写）：</w:t>
      </w:r>
      <w:r>
        <w:rPr>
          <w:rFonts w:hint="eastAsia" w:hAnsi="宋体"/>
          <w:color w:val="auto"/>
          <w:highlight w:val="none"/>
          <w:u w:val="single"/>
        </w:rPr>
        <w:t xml:space="preserve">             无              </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甲方（买方）：</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乙方（卖方）：</w:t>
      </w:r>
      <w:r>
        <w:rPr>
          <w:rFonts w:hint="eastAsia" w:hAnsi="宋体"/>
          <w:color w:val="auto"/>
          <w:highlight w:val="none"/>
          <w:u w:val="single"/>
        </w:rPr>
        <w:t xml:space="preserve">                                         </w:t>
      </w:r>
    </w:p>
    <w:p>
      <w:pPr>
        <w:pStyle w:val="25"/>
        <w:spacing w:line="360" w:lineRule="auto"/>
        <w:rPr>
          <w:rFonts w:hAnsi="宋体"/>
          <w:color w:val="auto"/>
          <w:highlight w:val="none"/>
        </w:rPr>
      </w:pPr>
    </w:p>
    <w:p>
      <w:pPr>
        <w:pStyle w:val="25"/>
        <w:spacing w:line="360" w:lineRule="auto"/>
        <w:ind w:firstLine="420" w:firstLineChars="200"/>
        <w:rPr>
          <w:rFonts w:hAnsi="宋体"/>
          <w:b/>
          <w:color w:val="auto"/>
          <w:highlight w:val="none"/>
        </w:rPr>
      </w:pPr>
      <w:r>
        <w:rPr>
          <w:rFonts w:hint="eastAsia" w:hAnsi="宋体"/>
          <w:color w:val="auto"/>
          <w:highlight w:val="none"/>
        </w:rPr>
        <w:t>根据</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日采购结果，甲方接受乙方对本项目的投标，甲、乙双方同意签署本合同（以下简称合同）。</w:t>
      </w:r>
    </w:p>
    <w:p>
      <w:pPr>
        <w:pStyle w:val="25"/>
        <w:spacing w:line="360" w:lineRule="auto"/>
        <w:ind w:firstLine="422" w:firstLineChars="200"/>
        <w:rPr>
          <w:rFonts w:hAnsi="宋体"/>
          <w:b/>
          <w:bCs/>
          <w:color w:val="auto"/>
          <w:highlight w:val="none"/>
        </w:rPr>
      </w:pPr>
      <w:bookmarkStart w:id="64" w:name="_Toc31637_WPSOffice_Level1"/>
      <w:r>
        <w:rPr>
          <w:rFonts w:hint="eastAsia" w:hAnsi="宋体"/>
          <w:b/>
          <w:bCs/>
          <w:color w:val="auto"/>
          <w:highlight w:val="none"/>
        </w:rPr>
        <w:t>1.  采购内容</w:t>
      </w:r>
      <w:bookmarkEnd w:id="64"/>
    </w:p>
    <w:p>
      <w:pPr>
        <w:pStyle w:val="25"/>
        <w:tabs>
          <w:tab w:val="left" w:pos="5220"/>
        </w:tabs>
        <w:spacing w:line="360" w:lineRule="auto"/>
        <w:ind w:firstLine="420" w:firstLineChars="200"/>
        <w:rPr>
          <w:rFonts w:hAnsi="宋体"/>
          <w:color w:val="auto"/>
          <w:highlight w:val="none"/>
          <w:u w:val="single"/>
        </w:rPr>
      </w:pPr>
      <w:bookmarkStart w:id="65" w:name="_Toc1936_WPSOffice_Level2"/>
      <w:r>
        <w:rPr>
          <w:rFonts w:hint="eastAsia" w:hAnsi="宋体"/>
          <w:color w:val="auto"/>
          <w:highlight w:val="none"/>
        </w:rPr>
        <w:t>1.1 服务名称：</w:t>
      </w:r>
      <w:r>
        <w:rPr>
          <w:rFonts w:hint="eastAsia" w:hAnsi="宋体"/>
          <w:color w:val="auto"/>
          <w:highlight w:val="none"/>
          <w:u w:val="single"/>
        </w:rPr>
        <w:t>详见合同附件中报价表</w:t>
      </w:r>
      <w:bookmarkEnd w:id="65"/>
    </w:p>
    <w:p>
      <w:pPr>
        <w:pStyle w:val="25"/>
        <w:tabs>
          <w:tab w:val="left" w:pos="5220"/>
        </w:tabs>
        <w:spacing w:line="360" w:lineRule="auto"/>
        <w:ind w:firstLine="420" w:firstLineChars="200"/>
        <w:rPr>
          <w:rFonts w:hAnsi="宋体"/>
          <w:color w:val="auto"/>
          <w:highlight w:val="none"/>
        </w:rPr>
      </w:pPr>
      <w:bookmarkStart w:id="66" w:name="_Toc2253_WPSOffice_Level2"/>
      <w:r>
        <w:rPr>
          <w:rFonts w:hint="eastAsia" w:hAnsi="宋体"/>
          <w:color w:val="auto"/>
          <w:highlight w:val="none"/>
        </w:rPr>
        <w:t>1.2 数量：</w:t>
      </w:r>
      <w:r>
        <w:rPr>
          <w:rFonts w:hint="eastAsia" w:hAnsi="宋体"/>
          <w:color w:val="auto"/>
          <w:highlight w:val="none"/>
          <w:u w:val="single"/>
        </w:rPr>
        <w:t>详见合同附件中报价表</w:t>
      </w:r>
      <w:bookmarkEnd w:id="66"/>
    </w:p>
    <w:p>
      <w:pPr>
        <w:pStyle w:val="25"/>
        <w:tabs>
          <w:tab w:val="left" w:pos="5220"/>
        </w:tabs>
        <w:spacing w:line="360" w:lineRule="auto"/>
        <w:ind w:firstLine="420" w:firstLineChars="200"/>
        <w:rPr>
          <w:rFonts w:hAnsi="宋体"/>
          <w:color w:val="auto"/>
          <w:highlight w:val="none"/>
        </w:rPr>
      </w:pPr>
      <w:r>
        <w:rPr>
          <w:rFonts w:hint="eastAsia" w:hAnsi="宋体"/>
          <w:color w:val="auto"/>
          <w:highlight w:val="none"/>
        </w:rPr>
        <w:t xml:space="preserve">1.2 </w:t>
      </w:r>
      <w:r>
        <w:rPr>
          <w:rFonts w:hint="eastAsia"/>
          <w:color w:val="auto"/>
          <w:highlight w:val="none"/>
        </w:rPr>
        <w:t>服务内容及要求</w:t>
      </w:r>
      <w:r>
        <w:rPr>
          <w:rFonts w:hint="eastAsia" w:ascii="Times New Roman" w:hAnsi="Times New Roman"/>
          <w:color w:val="auto"/>
          <w:highlight w:val="none"/>
        </w:rPr>
        <w:t>：</w:t>
      </w:r>
      <w:r>
        <w:rPr>
          <w:rFonts w:hint="eastAsia" w:hAnsi="宋体"/>
          <w:color w:val="auto"/>
          <w:highlight w:val="none"/>
          <w:u w:val="single"/>
        </w:rPr>
        <w:t>详见合同附件中投标服务技术资料表</w:t>
      </w:r>
    </w:p>
    <w:p>
      <w:pPr>
        <w:pStyle w:val="25"/>
        <w:tabs>
          <w:tab w:val="left" w:pos="5145"/>
        </w:tabs>
        <w:spacing w:line="360" w:lineRule="auto"/>
        <w:ind w:firstLine="422" w:firstLineChars="200"/>
        <w:rPr>
          <w:rFonts w:hAnsi="宋体"/>
          <w:b/>
          <w:bCs/>
          <w:color w:val="auto"/>
          <w:highlight w:val="none"/>
        </w:rPr>
      </w:pPr>
      <w:bookmarkStart w:id="67" w:name="_Toc18558_WPSOffice_Level1"/>
      <w:r>
        <w:rPr>
          <w:rFonts w:hint="eastAsia" w:hAnsi="宋体"/>
          <w:b/>
          <w:bCs/>
          <w:color w:val="auto"/>
          <w:highlight w:val="none"/>
        </w:rPr>
        <w:t>2.  合同金额</w:t>
      </w:r>
      <w:bookmarkEnd w:id="67"/>
    </w:p>
    <w:p>
      <w:pPr>
        <w:pStyle w:val="25"/>
        <w:spacing w:line="360" w:lineRule="auto"/>
        <w:ind w:firstLine="411" w:firstLineChars="196"/>
        <w:rPr>
          <w:rFonts w:hAnsi="宋体"/>
          <w:b/>
          <w:bCs/>
          <w:color w:val="auto"/>
          <w:highlight w:val="none"/>
        </w:rPr>
      </w:pPr>
      <w:r>
        <w:rPr>
          <w:rFonts w:hint="eastAsia" w:hAnsi="宋体"/>
          <w:color w:val="auto"/>
          <w:highlight w:val="none"/>
        </w:rPr>
        <w:t>2.1 本合同金额为（大写）人民币</w:t>
      </w:r>
      <w:r>
        <w:rPr>
          <w:rFonts w:hint="eastAsia" w:hAnsi="宋体" w:cs="宋体"/>
          <w:color w:val="auto"/>
          <w:highlight w:val="none"/>
          <w:u w:val="single"/>
        </w:rPr>
        <w:t xml:space="preserve">        </w:t>
      </w:r>
      <w:r>
        <w:rPr>
          <w:rFonts w:hint="eastAsia" w:hAnsi="宋体" w:cs="宋体"/>
          <w:color w:val="auto"/>
          <w:highlight w:val="none"/>
        </w:rPr>
        <w:t>元整(￥</w:t>
      </w:r>
      <w:r>
        <w:rPr>
          <w:rFonts w:hint="eastAsia" w:hAnsi="宋体" w:cs="宋体"/>
          <w:color w:val="auto"/>
          <w:highlight w:val="none"/>
          <w:u w:val="single"/>
        </w:rPr>
        <w:t xml:space="preserve">      </w:t>
      </w:r>
      <w:r>
        <w:rPr>
          <w:rFonts w:hint="eastAsia" w:hAnsi="宋体" w:cs="宋体"/>
          <w:color w:val="auto"/>
          <w:highlight w:val="none"/>
        </w:rPr>
        <w:t>元)</w:t>
      </w:r>
      <w:r>
        <w:rPr>
          <w:rFonts w:hint="eastAsia" w:hAnsi="宋体"/>
          <w:color w:val="auto"/>
          <w:highlight w:val="none"/>
        </w:rPr>
        <w:t>（详见报价表）结算以实际为主，且结算金额不能超过合同总金额。</w:t>
      </w:r>
    </w:p>
    <w:p>
      <w:pPr>
        <w:pStyle w:val="25"/>
        <w:tabs>
          <w:tab w:val="left" w:pos="5940"/>
        </w:tabs>
        <w:spacing w:line="360" w:lineRule="auto"/>
        <w:ind w:firstLine="422" w:firstLineChars="200"/>
        <w:rPr>
          <w:rFonts w:hAnsi="宋体"/>
          <w:b/>
          <w:bCs/>
          <w:color w:val="auto"/>
          <w:highlight w:val="none"/>
        </w:rPr>
      </w:pPr>
      <w:bookmarkStart w:id="68" w:name="_Toc31657_WPSOffice_Level1"/>
      <w:r>
        <w:rPr>
          <w:rFonts w:hint="eastAsia" w:hAnsi="宋体"/>
          <w:b/>
          <w:bCs/>
          <w:color w:val="auto"/>
          <w:highlight w:val="none"/>
        </w:rPr>
        <w:t>3.  提交服务成果时间和地点</w:t>
      </w:r>
      <w:bookmarkEnd w:id="68"/>
    </w:p>
    <w:p>
      <w:pPr>
        <w:pStyle w:val="25"/>
        <w:tabs>
          <w:tab w:val="left" w:pos="5250"/>
          <w:tab w:val="left" w:pos="5940"/>
        </w:tabs>
        <w:spacing w:line="360" w:lineRule="auto"/>
        <w:ind w:firstLine="411" w:firstLineChars="196"/>
        <w:rPr>
          <w:rFonts w:hAnsi="宋体"/>
          <w:b/>
          <w:bCs/>
          <w:color w:val="auto"/>
          <w:highlight w:val="none"/>
        </w:rPr>
      </w:pPr>
      <w:bookmarkStart w:id="69" w:name="_Toc11596_WPSOffice_Level2"/>
      <w:r>
        <w:rPr>
          <w:rFonts w:hint="eastAsia" w:hAnsi="宋体"/>
          <w:bCs/>
          <w:color w:val="auto"/>
          <w:highlight w:val="none"/>
        </w:rPr>
        <w:t xml:space="preserve">3.1 </w:t>
      </w:r>
      <w:r>
        <w:rPr>
          <w:rFonts w:hint="eastAsia"/>
          <w:bCs/>
          <w:color w:val="auto"/>
          <w:highlight w:val="none"/>
        </w:rPr>
        <w:t>提交服务成果时间</w:t>
      </w:r>
      <w:r>
        <w:rPr>
          <w:rFonts w:hint="eastAsia" w:hAnsi="宋体"/>
          <w:bCs/>
          <w:color w:val="auto"/>
          <w:highlight w:val="none"/>
        </w:rPr>
        <w:t>：</w:t>
      </w:r>
      <w:bookmarkEnd w:id="69"/>
      <w:r>
        <w:rPr>
          <w:rFonts w:hint="eastAsia" w:hAnsi="宋体"/>
          <w:color w:val="auto"/>
          <w:highlight w:val="none"/>
          <w:u w:val="single"/>
        </w:rPr>
        <w:t xml:space="preserve">                                             </w:t>
      </w:r>
    </w:p>
    <w:p>
      <w:pPr>
        <w:pStyle w:val="25"/>
        <w:tabs>
          <w:tab w:val="left" w:pos="5940"/>
        </w:tabs>
        <w:spacing w:line="360" w:lineRule="auto"/>
        <w:ind w:firstLine="411" w:firstLineChars="196"/>
        <w:rPr>
          <w:rFonts w:hAnsi="宋体"/>
          <w:b/>
          <w:bCs/>
          <w:color w:val="auto"/>
          <w:highlight w:val="none"/>
        </w:rPr>
      </w:pPr>
      <w:bookmarkStart w:id="70" w:name="_Toc5335_WPSOffice_Level2"/>
      <w:r>
        <w:rPr>
          <w:rFonts w:hint="eastAsia" w:hAnsi="宋体"/>
          <w:bCs/>
          <w:color w:val="auto"/>
          <w:highlight w:val="none"/>
        </w:rPr>
        <w:t xml:space="preserve">3.2 </w:t>
      </w:r>
      <w:r>
        <w:rPr>
          <w:rFonts w:hint="eastAsia"/>
          <w:bCs/>
          <w:color w:val="auto"/>
          <w:highlight w:val="none"/>
        </w:rPr>
        <w:t>提交服务成果</w:t>
      </w:r>
      <w:r>
        <w:rPr>
          <w:rFonts w:hint="eastAsia" w:hAnsi="宋体"/>
          <w:bCs/>
          <w:color w:val="auto"/>
          <w:highlight w:val="none"/>
        </w:rPr>
        <w:t>地点：</w:t>
      </w:r>
      <w:bookmarkEnd w:id="70"/>
      <w:r>
        <w:rPr>
          <w:rFonts w:hint="eastAsia" w:hAnsi="宋体"/>
          <w:color w:val="auto"/>
          <w:highlight w:val="none"/>
          <w:u w:val="single"/>
        </w:rPr>
        <w:t xml:space="preserve">                    </w:t>
      </w:r>
      <w:r>
        <w:rPr>
          <w:rFonts w:hint="eastAsia" w:hAnsi="宋体" w:cs="宋体"/>
          <w:color w:val="auto"/>
          <w:highlight w:val="none"/>
          <w:u w:val="single"/>
        </w:rPr>
        <w:t xml:space="preserve">                      </w:t>
      </w:r>
      <w:r>
        <w:rPr>
          <w:rFonts w:hint="eastAsia" w:hAnsi="宋体"/>
          <w:color w:val="auto"/>
          <w:highlight w:val="none"/>
          <w:u w:val="single"/>
        </w:rPr>
        <w:t xml:space="preserve">   </w:t>
      </w:r>
    </w:p>
    <w:p>
      <w:pPr>
        <w:pStyle w:val="25"/>
        <w:tabs>
          <w:tab w:val="left" w:pos="5940"/>
        </w:tabs>
        <w:spacing w:line="360" w:lineRule="auto"/>
        <w:ind w:firstLine="411" w:firstLineChars="196"/>
        <w:rPr>
          <w:rFonts w:hAnsi="宋体"/>
          <w:b/>
          <w:bCs/>
          <w:color w:val="auto"/>
          <w:highlight w:val="none"/>
        </w:rPr>
      </w:pPr>
      <w:bookmarkStart w:id="71" w:name="_Toc13835_WPSOffice_Level2"/>
      <w:r>
        <w:rPr>
          <w:rFonts w:hint="eastAsia" w:hAnsi="宋体"/>
          <w:bCs/>
          <w:color w:val="auto"/>
          <w:highlight w:val="none"/>
        </w:rPr>
        <w:t xml:space="preserve">3.3 </w:t>
      </w:r>
      <w:r>
        <w:rPr>
          <w:rFonts w:hint="eastAsia" w:hAnsi="宋体"/>
          <w:color w:val="auto"/>
          <w:highlight w:val="none"/>
        </w:rPr>
        <w:t>乙方必须按投标文件承诺的服务响应条款向甲方提供服务。</w:t>
      </w:r>
      <w:bookmarkEnd w:id="71"/>
    </w:p>
    <w:p>
      <w:pPr>
        <w:pStyle w:val="25"/>
        <w:spacing w:line="360" w:lineRule="auto"/>
        <w:ind w:left="420" w:leftChars="200" w:firstLine="63" w:firstLineChars="30"/>
        <w:rPr>
          <w:rFonts w:hAnsi="宋体"/>
          <w:b/>
          <w:color w:val="auto"/>
          <w:highlight w:val="none"/>
        </w:rPr>
      </w:pPr>
      <w:bookmarkStart w:id="72" w:name="_Toc8037_WPSOffice_Level1"/>
      <w:r>
        <w:rPr>
          <w:rFonts w:hint="eastAsia" w:hAnsi="宋体"/>
          <w:b/>
          <w:bCs/>
          <w:color w:val="auto"/>
          <w:highlight w:val="none"/>
        </w:rPr>
        <w:t>4.  履约保证金</w:t>
      </w:r>
      <w:bookmarkEnd w:id="72"/>
    </w:p>
    <w:p>
      <w:pPr>
        <w:pStyle w:val="25"/>
        <w:tabs>
          <w:tab w:val="left" w:pos="5145"/>
        </w:tabs>
        <w:spacing w:line="360" w:lineRule="auto"/>
        <w:ind w:firstLine="420" w:firstLineChars="200"/>
        <w:rPr>
          <w:rFonts w:hAnsi="宋体"/>
          <w:b/>
          <w:color w:val="auto"/>
          <w:highlight w:val="none"/>
        </w:rPr>
      </w:pPr>
      <w:r>
        <w:rPr>
          <w:rFonts w:hint="eastAsia" w:hAnsi="宋体"/>
          <w:color w:val="auto"/>
          <w:highlight w:val="none"/>
        </w:rPr>
        <w:t>4.1 乙方交纳（大写）人民币</w:t>
      </w:r>
      <w:r>
        <w:rPr>
          <w:rFonts w:hint="eastAsia" w:hAnsi="宋体"/>
          <w:color w:val="auto"/>
          <w:highlight w:val="none"/>
          <w:u w:val="single"/>
        </w:rPr>
        <w:t xml:space="preserve">                    </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元）作为本合同的履约保证金。</w:t>
      </w:r>
    </w:p>
    <w:p>
      <w:pPr>
        <w:pStyle w:val="25"/>
        <w:spacing w:line="360" w:lineRule="auto"/>
        <w:ind w:firstLine="420" w:firstLineChars="200"/>
        <w:rPr>
          <w:rFonts w:hAnsi="宋体"/>
          <w:color w:val="auto"/>
          <w:highlight w:val="none"/>
        </w:rPr>
      </w:pPr>
      <w:r>
        <w:rPr>
          <w:rFonts w:hint="eastAsia" w:hAnsi="宋体"/>
          <w:color w:val="auto"/>
          <w:highlight w:val="none"/>
        </w:rPr>
        <w:t>4.2 履约保证金作为违约金的一部分用于补偿甲方因乙方不能完成其合同义务而蒙受的损失。</w:t>
      </w:r>
    </w:p>
    <w:p>
      <w:pPr>
        <w:pStyle w:val="25"/>
        <w:spacing w:line="360" w:lineRule="auto"/>
        <w:ind w:left="420" w:leftChars="200" w:firstLine="61" w:firstLineChars="29"/>
        <w:rPr>
          <w:rFonts w:hAnsi="宋体"/>
          <w:b/>
          <w:color w:val="auto"/>
          <w:highlight w:val="none"/>
        </w:rPr>
      </w:pPr>
      <w:bookmarkStart w:id="73" w:name="_Toc7078_WPSOffice_Level1"/>
      <w:r>
        <w:rPr>
          <w:rFonts w:hint="eastAsia" w:hAnsi="宋体"/>
          <w:b/>
          <w:bCs/>
          <w:color w:val="auto"/>
          <w:highlight w:val="none"/>
        </w:rPr>
        <w:t>5.  产权</w:t>
      </w:r>
      <w:bookmarkEnd w:id="73"/>
    </w:p>
    <w:p>
      <w:pPr>
        <w:pStyle w:val="25"/>
        <w:spacing w:line="360" w:lineRule="auto"/>
        <w:ind w:firstLine="420" w:firstLineChars="200"/>
        <w:rPr>
          <w:rFonts w:hAnsi="宋体"/>
          <w:b/>
          <w:color w:val="auto"/>
          <w:highlight w:val="none"/>
        </w:rPr>
      </w:pPr>
      <w:r>
        <w:rPr>
          <w:rFonts w:hint="eastAsia" w:hAnsi="宋体"/>
          <w:color w:val="auto"/>
          <w:highlight w:val="none"/>
        </w:rPr>
        <w:t xml:space="preserve">5.1 </w:t>
      </w:r>
      <w:r>
        <w:rPr>
          <w:rFonts w:hint="eastAsia" w:ascii="Times New Roman" w:hAnsi="Times New Roman"/>
          <w:color w:val="auto"/>
          <w:highlight w:val="none"/>
        </w:rPr>
        <w:t>乙方应保证所提供的服务或其任何一部分均不会侵犯任何第三方的专利权、商标权或著作权</w:t>
      </w:r>
      <w:r>
        <w:rPr>
          <w:rFonts w:hint="eastAsia" w:hAnsi="宋体"/>
          <w:bCs/>
          <w:color w:val="auto"/>
          <w:highlight w:val="none"/>
        </w:rPr>
        <w:t>。</w:t>
      </w:r>
    </w:p>
    <w:p>
      <w:pPr>
        <w:pStyle w:val="25"/>
        <w:spacing w:line="360" w:lineRule="auto"/>
        <w:ind w:firstLine="420" w:firstLineChars="200"/>
        <w:rPr>
          <w:rFonts w:hAnsi="宋体"/>
          <w:b/>
          <w:color w:val="auto"/>
          <w:highlight w:val="none"/>
        </w:rPr>
      </w:pPr>
      <w:r>
        <w:rPr>
          <w:rFonts w:hint="eastAsia" w:hAnsi="宋体"/>
          <w:color w:val="auto"/>
          <w:highlight w:val="none"/>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pStyle w:val="25"/>
        <w:spacing w:line="360" w:lineRule="auto"/>
        <w:ind w:firstLine="422" w:firstLineChars="200"/>
        <w:rPr>
          <w:rFonts w:hAnsi="宋体"/>
          <w:b/>
          <w:color w:val="auto"/>
          <w:highlight w:val="none"/>
        </w:rPr>
      </w:pPr>
      <w:bookmarkStart w:id="74" w:name="_Toc21234_WPSOffice_Level1"/>
      <w:r>
        <w:rPr>
          <w:rFonts w:hint="eastAsia" w:hAnsi="宋体"/>
          <w:b/>
          <w:bCs/>
          <w:color w:val="auto"/>
          <w:highlight w:val="none"/>
        </w:rPr>
        <w:t>6.  技术资料</w:t>
      </w:r>
      <w:bookmarkEnd w:id="74"/>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6.1 甲方应向乙方提供提交服务成果所必需的有关数据、资料等。</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25"/>
        <w:spacing w:line="360" w:lineRule="auto"/>
        <w:ind w:firstLine="422" w:firstLineChars="200"/>
        <w:rPr>
          <w:rFonts w:hAnsi="宋体"/>
          <w:b/>
          <w:bCs/>
          <w:color w:val="auto"/>
          <w:highlight w:val="none"/>
        </w:rPr>
      </w:pPr>
      <w:bookmarkStart w:id="75" w:name="_Toc16788_WPSOffice_Level1"/>
      <w:r>
        <w:rPr>
          <w:rFonts w:hint="eastAsia" w:hAnsi="宋体"/>
          <w:b/>
          <w:bCs/>
          <w:color w:val="auto"/>
          <w:highlight w:val="none"/>
        </w:rPr>
        <w:t>7.  验收</w:t>
      </w:r>
      <w:bookmarkEnd w:id="75"/>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7.1 乙方应对提交的服务成果作出全面检查和整理，并列出清单，作为甲方验收和使用的技术条件依据，清单应随提交的服务成果交给甲方。</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7.2 乙方在指定地点提交服务成果后，甲方应在5个工作日内依据招标文件、乙方的投标文件等组织验收，验收完毕后作出书面验收报告。验收时乙方必须在现场。</w:t>
      </w:r>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7.3 对复杂的服务，甲方可请国家认可的专业机构参与验收，并由其出具验收报告，相关费用由甲方承担。</w:t>
      </w:r>
    </w:p>
    <w:p>
      <w:pPr>
        <w:pStyle w:val="25"/>
        <w:spacing w:line="360" w:lineRule="auto"/>
        <w:ind w:firstLine="422" w:firstLineChars="200"/>
        <w:rPr>
          <w:rFonts w:hAnsi="宋体"/>
          <w:b/>
          <w:bCs/>
          <w:color w:val="auto"/>
          <w:highlight w:val="none"/>
        </w:rPr>
      </w:pPr>
      <w:bookmarkStart w:id="76" w:name="_Toc11791_WPSOffice_Level1"/>
      <w:r>
        <w:rPr>
          <w:rFonts w:hint="eastAsia" w:hAnsi="宋体"/>
          <w:b/>
          <w:bCs/>
          <w:color w:val="auto"/>
          <w:highlight w:val="none"/>
        </w:rPr>
        <w:t>8.  合同款支付</w:t>
      </w:r>
      <w:bookmarkEnd w:id="76"/>
    </w:p>
    <w:p>
      <w:pPr>
        <w:tabs>
          <w:tab w:val="left" w:pos="3490"/>
          <w:tab w:val="left" w:pos="3670"/>
          <w:tab w:val="left" w:pos="3895"/>
        </w:tabs>
        <w:spacing w:line="360" w:lineRule="auto"/>
        <w:ind w:firstLine="420" w:firstLineChars="200"/>
        <w:rPr>
          <w:rFonts w:hAnsi="宋体"/>
          <w:bCs/>
          <w:color w:val="auto"/>
          <w:szCs w:val="21"/>
          <w:highlight w:val="none"/>
          <w:u w:val="single"/>
        </w:rPr>
      </w:pPr>
      <w:r>
        <w:rPr>
          <w:rFonts w:hint="eastAsia" w:hAnsi="宋体"/>
          <w:bCs/>
          <w:color w:val="auto"/>
          <w:szCs w:val="21"/>
          <w:highlight w:val="none"/>
        </w:rPr>
        <w:t xml:space="preserve"> 付款方式：</w:t>
      </w:r>
      <w:r>
        <w:rPr>
          <w:rFonts w:hint="eastAsia" w:hAnsi="宋体"/>
          <w:bCs/>
          <w:color w:val="auto"/>
          <w:szCs w:val="21"/>
          <w:highlight w:val="none"/>
          <w:u w:val="single"/>
        </w:rPr>
        <w:t xml:space="preserve">                                                            </w:t>
      </w:r>
      <w:r>
        <w:rPr>
          <w:rFonts w:hAnsi="宋体"/>
          <w:bCs/>
          <w:color w:val="auto"/>
          <w:szCs w:val="21"/>
          <w:highlight w:val="none"/>
          <w:u w:val="single"/>
        </w:rPr>
        <w:t xml:space="preserve"> </w:t>
      </w:r>
    </w:p>
    <w:p>
      <w:pPr>
        <w:pStyle w:val="25"/>
        <w:spacing w:line="360" w:lineRule="auto"/>
        <w:ind w:firstLine="422" w:firstLineChars="200"/>
        <w:rPr>
          <w:rFonts w:hAnsi="宋体"/>
          <w:b/>
          <w:bCs/>
          <w:color w:val="auto"/>
          <w:highlight w:val="none"/>
        </w:rPr>
      </w:pPr>
      <w:bookmarkStart w:id="77" w:name="_Toc7592_WPSOffice_Level1"/>
      <w:r>
        <w:rPr>
          <w:rFonts w:hint="eastAsia" w:hAnsi="宋体"/>
          <w:b/>
          <w:bCs/>
          <w:color w:val="auto"/>
          <w:highlight w:val="none"/>
        </w:rPr>
        <w:t>9.  售后服务要求</w:t>
      </w:r>
      <w:bookmarkEnd w:id="77"/>
    </w:p>
    <w:p>
      <w:pPr>
        <w:pStyle w:val="25"/>
        <w:spacing w:line="360" w:lineRule="auto"/>
        <w:ind w:firstLine="420" w:firstLineChars="200"/>
        <w:rPr>
          <w:rFonts w:hAnsi="宋体"/>
          <w:color w:val="auto"/>
          <w:highlight w:val="none"/>
        </w:rPr>
      </w:pPr>
      <w:r>
        <w:rPr>
          <w:rFonts w:hint="eastAsia" w:hAnsi="宋体"/>
          <w:color w:val="auto"/>
          <w:highlight w:val="none"/>
        </w:rPr>
        <w:t>9.1 乙方提供服务的质量保证期为：</w:t>
      </w:r>
      <w:r>
        <w:rPr>
          <w:rFonts w:hint="eastAsia" w:hAnsi="宋体"/>
          <w:color w:val="auto"/>
          <w:highlight w:val="none"/>
          <w:u w:val="single"/>
        </w:rPr>
        <w:t xml:space="preserve">　                </w:t>
      </w:r>
      <w:r>
        <w:rPr>
          <w:rFonts w:hint="eastAsia" w:hAnsi="宋体"/>
          <w:color w:val="auto"/>
          <w:highlight w:val="none"/>
        </w:rPr>
        <w:t>（自提交服务验收合格之日起计）</w:t>
      </w:r>
    </w:p>
    <w:p>
      <w:pPr>
        <w:pStyle w:val="25"/>
        <w:spacing w:line="360" w:lineRule="auto"/>
        <w:ind w:firstLine="420" w:firstLineChars="200"/>
        <w:rPr>
          <w:rFonts w:hAnsi="宋体"/>
          <w:color w:val="auto"/>
          <w:highlight w:val="none"/>
        </w:rPr>
      </w:pPr>
      <w:r>
        <w:rPr>
          <w:rFonts w:hint="eastAsia" w:hAnsi="宋体"/>
          <w:color w:val="auto"/>
          <w:highlight w:val="none"/>
        </w:rPr>
        <w:t>9.2 质量保证金为（大写）人民币</w:t>
      </w:r>
      <w:r>
        <w:rPr>
          <w:rFonts w:hint="eastAsia" w:hAnsi="宋体"/>
          <w:color w:val="auto"/>
          <w:highlight w:val="none"/>
          <w:u w:val="single"/>
        </w:rPr>
        <w:t xml:space="preserve">                    整</w:t>
      </w:r>
      <w:r>
        <w:rPr>
          <w:rFonts w:hint="eastAsia" w:hAnsi="宋体"/>
          <w:color w:val="auto"/>
          <w:highlight w:val="none"/>
        </w:rPr>
        <w:t>（￥</w:t>
      </w:r>
      <w:r>
        <w:rPr>
          <w:rFonts w:hint="eastAsia" w:hAnsi="宋体"/>
          <w:color w:val="auto"/>
          <w:highlight w:val="none"/>
          <w:u w:val="single"/>
        </w:rPr>
        <w:t xml:space="preserve">　    </w:t>
      </w:r>
      <w:r>
        <w:rPr>
          <w:rFonts w:hint="eastAsia" w:hAnsi="宋体"/>
          <w:color w:val="auto"/>
          <w:highlight w:val="none"/>
        </w:rPr>
        <w:t>元）（履约保证金在中标供应商按合同约定所提交的服务验收合格后自行转为质保金。）</w:t>
      </w:r>
    </w:p>
    <w:p>
      <w:pPr>
        <w:pStyle w:val="25"/>
        <w:spacing w:line="360" w:lineRule="auto"/>
        <w:ind w:firstLine="420" w:firstLineChars="200"/>
        <w:rPr>
          <w:rFonts w:hAnsi="宋体"/>
          <w:color w:val="auto"/>
          <w:highlight w:val="none"/>
        </w:rPr>
      </w:pPr>
      <w:r>
        <w:rPr>
          <w:rFonts w:hint="eastAsia" w:hAnsi="宋体"/>
          <w:color w:val="auto"/>
          <w:highlight w:val="none"/>
        </w:rPr>
        <w:t>9.3 履约保证金自乙方按合同约定交货验收合格之日起转为质量保证金。在质保期内乙方提供的货物质量和服务符合合同约定，经验收合格，质保期满后乙方向甲方办理退付手续，甲方将在收到完整且合格的退付申请资料后五个工作日内以转账或电汇方式无息退还乙方。</w:t>
      </w:r>
    </w:p>
    <w:p>
      <w:pPr>
        <w:pStyle w:val="25"/>
        <w:spacing w:line="360" w:lineRule="auto"/>
        <w:ind w:firstLine="420" w:firstLineChars="200"/>
        <w:rPr>
          <w:rFonts w:hAnsi="宋体"/>
          <w:color w:val="auto"/>
          <w:highlight w:val="none"/>
        </w:rPr>
      </w:pPr>
      <w:r>
        <w:rPr>
          <w:rFonts w:hint="eastAsia" w:hAnsi="宋体"/>
          <w:color w:val="auto"/>
          <w:highlight w:val="none"/>
        </w:rPr>
        <w:t>9.4 在本合同第9.1项约定的质量保证期内，乙方应对服务出现的问题负责处理解决并承担一切费用。</w:t>
      </w:r>
    </w:p>
    <w:p>
      <w:pPr>
        <w:pStyle w:val="25"/>
        <w:spacing w:line="360" w:lineRule="auto"/>
        <w:ind w:firstLine="420" w:firstLineChars="200"/>
        <w:rPr>
          <w:rFonts w:hAnsi="宋体"/>
          <w:color w:val="auto"/>
          <w:highlight w:val="none"/>
          <w:u w:val="single"/>
        </w:rPr>
      </w:pPr>
      <w:r>
        <w:rPr>
          <w:rFonts w:hint="eastAsia" w:hAnsi="宋体"/>
          <w:color w:val="auto"/>
          <w:highlight w:val="none"/>
        </w:rPr>
        <w:t>9.5 其他售后服务要求：</w:t>
      </w:r>
      <w:r>
        <w:rPr>
          <w:rFonts w:hint="eastAsia" w:hAnsi="宋体"/>
          <w:color w:val="auto"/>
          <w:highlight w:val="none"/>
          <w:u w:val="single"/>
        </w:rPr>
        <w:t>按响应文件商务条款偏离表及澄清函（商务条款偏离表与澄清函不一致的以澄清函为准）内容执行。</w:t>
      </w:r>
    </w:p>
    <w:p>
      <w:pPr>
        <w:pStyle w:val="25"/>
        <w:spacing w:line="360" w:lineRule="auto"/>
        <w:ind w:firstLine="422" w:firstLineChars="200"/>
        <w:rPr>
          <w:rFonts w:hAnsi="宋体"/>
          <w:b/>
          <w:bCs/>
          <w:color w:val="auto"/>
          <w:highlight w:val="none"/>
        </w:rPr>
      </w:pPr>
      <w:bookmarkStart w:id="78" w:name="_Toc21805_WPSOffice_Level1"/>
      <w:r>
        <w:rPr>
          <w:rFonts w:hint="eastAsia" w:hAnsi="宋体"/>
          <w:b/>
          <w:bCs/>
          <w:color w:val="auto"/>
          <w:highlight w:val="none"/>
        </w:rPr>
        <w:t>10.  违约责任</w:t>
      </w:r>
      <w:bookmarkEnd w:id="78"/>
    </w:p>
    <w:p>
      <w:pPr>
        <w:pStyle w:val="25"/>
        <w:spacing w:line="360" w:lineRule="auto"/>
        <w:ind w:firstLine="420" w:firstLineChars="200"/>
        <w:rPr>
          <w:rFonts w:hAnsi="宋体"/>
          <w:color w:val="auto"/>
          <w:highlight w:val="none"/>
        </w:rPr>
      </w:pPr>
      <w:r>
        <w:rPr>
          <w:rFonts w:hint="eastAsia" w:hAnsi="宋体"/>
          <w:color w:val="auto"/>
          <w:highlight w:val="none"/>
        </w:rPr>
        <w:t>10.1 甲方无正当理由拒收服务的，甲方向乙方偿付拒收服务费总值的百分之五违约金。</w:t>
      </w:r>
    </w:p>
    <w:p>
      <w:pPr>
        <w:pStyle w:val="25"/>
        <w:spacing w:line="360" w:lineRule="auto"/>
        <w:ind w:firstLine="420" w:firstLineChars="200"/>
        <w:rPr>
          <w:rFonts w:hAnsi="宋体"/>
          <w:color w:val="auto"/>
          <w:highlight w:val="none"/>
        </w:rPr>
      </w:pPr>
      <w:r>
        <w:rPr>
          <w:rFonts w:hint="eastAsia" w:hAnsi="宋体"/>
          <w:color w:val="auto"/>
          <w:highlight w:val="none"/>
        </w:rPr>
        <w:t>10.2 甲方无故逾期验收或办理合同款支付手续的，甲方应按逾期付款总额每日万分之五向乙方支付违约金。</w:t>
      </w:r>
    </w:p>
    <w:p>
      <w:pPr>
        <w:pStyle w:val="25"/>
        <w:spacing w:line="360" w:lineRule="auto"/>
        <w:ind w:firstLine="420" w:firstLineChars="200"/>
        <w:rPr>
          <w:rFonts w:hAnsi="宋体"/>
          <w:color w:val="auto"/>
          <w:highlight w:val="none"/>
        </w:rPr>
      </w:pPr>
      <w:r>
        <w:rPr>
          <w:rFonts w:hint="eastAsia" w:hAnsi="宋体"/>
          <w:color w:val="auto"/>
          <w:highlight w:val="none"/>
        </w:rPr>
        <w:t>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pStyle w:val="25"/>
        <w:spacing w:line="360" w:lineRule="auto"/>
        <w:ind w:firstLine="422" w:firstLineChars="200"/>
        <w:rPr>
          <w:rFonts w:hAnsi="宋体"/>
          <w:b/>
          <w:bCs/>
          <w:color w:val="auto"/>
          <w:highlight w:val="none"/>
        </w:rPr>
      </w:pPr>
      <w:bookmarkStart w:id="79" w:name="_Toc27486_WPSOffice_Level1"/>
      <w:r>
        <w:rPr>
          <w:rFonts w:hint="eastAsia" w:hAnsi="宋体"/>
          <w:b/>
          <w:bCs/>
          <w:color w:val="auto"/>
          <w:highlight w:val="none"/>
        </w:rPr>
        <w:t>11.  不可抗力事件处理</w:t>
      </w:r>
      <w:bookmarkEnd w:id="79"/>
    </w:p>
    <w:p>
      <w:pPr>
        <w:pStyle w:val="25"/>
        <w:spacing w:line="360" w:lineRule="auto"/>
        <w:ind w:firstLine="420" w:firstLineChars="200"/>
        <w:rPr>
          <w:rFonts w:hAnsi="宋体"/>
          <w:color w:val="auto"/>
          <w:highlight w:val="none"/>
        </w:rPr>
      </w:pPr>
      <w:r>
        <w:rPr>
          <w:rFonts w:hint="eastAsia" w:hAnsi="宋体"/>
          <w:color w:val="auto"/>
          <w:highlight w:val="none"/>
        </w:rPr>
        <w:t>11.1 在合同有效期内，任何一方因不可抗力事件导致不能履行合同，则合同履行期可延长，其延长期与不可抗力影响期相同。</w:t>
      </w:r>
    </w:p>
    <w:p>
      <w:pPr>
        <w:pStyle w:val="25"/>
        <w:spacing w:line="360" w:lineRule="auto"/>
        <w:ind w:firstLine="420" w:firstLineChars="200"/>
        <w:rPr>
          <w:rFonts w:hAnsi="宋体"/>
          <w:color w:val="auto"/>
          <w:highlight w:val="none"/>
        </w:rPr>
      </w:pPr>
      <w:r>
        <w:rPr>
          <w:rFonts w:hint="eastAsia" w:hAnsi="宋体"/>
          <w:color w:val="auto"/>
          <w:highlight w:val="none"/>
        </w:rPr>
        <w:t>11.2 不可抗力事件发生后，应立即通知对方，并寄送有关权威机构出具的证明。</w:t>
      </w:r>
    </w:p>
    <w:p>
      <w:pPr>
        <w:pStyle w:val="25"/>
        <w:spacing w:line="360" w:lineRule="auto"/>
        <w:ind w:firstLine="420" w:firstLineChars="200"/>
        <w:rPr>
          <w:rFonts w:hAnsi="宋体"/>
          <w:color w:val="auto"/>
          <w:highlight w:val="none"/>
        </w:rPr>
      </w:pPr>
      <w:r>
        <w:rPr>
          <w:rFonts w:hint="eastAsia" w:hAnsi="宋体"/>
          <w:color w:val="auto"/>
          <w:highlight w:val="none"/>
        </w:rPr>
        <w:t>11.3 不可抗力事件延续120天以上，双方应通过友好协商，确定是否继续履行合同。</w:t>
      </w:r>
    </w:p>
    <w:p>
      <w:pPr>
        <w:pStyle w:val="25"/>
        <w:spacing w:line="360" w:lineRule="auto"/>
        <w:ind w:firstLine="422" w:firstLineChars="200"/>
        <w:rPr>
          <w:rFonts w:hAnsi="宋体"/>
          <w:b/>
          <w:bCs/>
          <w:color w:val="auto"/>
          <w:highlight w:val="none"/>
        </w:rPr>
      </w:pPr>
      <w:bookmarkStart w:id="80" w:name="_Toc17277_WPSOffice_Level1"/>
      <w:r>
        <w:rPr>
          <w:rFonts w:hint="eastAsia" w:hAnsi="宋体"/>
          <w:b/>
          <w:bCs/>
          <w:color w:val="auto"/>
          <w:highlight w:val="none"/>
        </w:rPr>
        <w:t>12.  诉讼</w:t>
      </w:r>
      <w:bookmarkEnd w:id="80"/>
    </w:p>
    <w:p>
      <w:pPr>
        <w:pStyle w:val="25"/>
        <w:tabs>
          <w:tab w:val="left" w:pos="0"/>
        </w:tabs>
        <w:spacing w:line="360" w:lineRule="auto"/>
        <w:ind w:firstLine="420" w:firstLineChars="200"/>
        <w:rPr>
          <w:rFonts w:hAnsi="宋体"/>
          <w:color w:val="auto"/>
          <w:highlight w:val="none"/>
        </w:rPr>
      </w:pPr>
      <w:r>
        <w:rPr>
          <w:rFonts w:hint="eastAsia" w:hAnsi="宋体"/>
          <w:color w:val="auto"/>
          <w:highlight w:val="none"/>
        </w:rPr>
        <w:t>12.1 双方在执行合同中所发生的一切争议，应通过协商解决。如协商不成，可向合同签订地法院起诉，合同签订地在此约定为广西南宁市青秀区。</w:t>
      </w:r>
    </w:p>
    <w:p>
      <w:pPr>
        <w:pStyle w:val="25"/>
        <w:spacing w:line="360" w:lineRule="auto"/>
        <w:ind w:firstLine="422" w:firstLineChars="200"/>
        <w:rPr>
          <w:rFonts w:hAnsi="宋体"/>
          <w:b/>
          <w:bCs/>
          <w:color w:val="auto"/>
          <w:highlight w:val="none"/>
        </w:rPr>
      </w:pPr>
      <w:bookmarkStart w:id="81" w:name="_Toc14397_WPSOffice_Level1"/>
      <w:r>
        <w:rPr>
          <w:rFonts w:hint="eastAsia" w:hAnsi="宋体"/>
          <w:b/>
          <w:bCs/>
          <w:color w:val="auto"/>
          <w:highlight w:val="none"/>
        </w:rPr>
        <w:t>13.  合同生效及其它</w:t>
      </w:r>
      <w:bookmarkEnd w:id="81"/>
    </w:p>
    <w:p>
      <w:pPr>
        <w:pStyle w:val="25"/>
        <w:spacing w:line="360" w:lineRule="auto"/>
        <w:ind w:firstLine="420" w:firstLineChars="200"/>
        <w:rPr>
          <w:rFonts w:hAnsi="宋体"/>
          <w:color w:val="auto"/>
          <w:highlight w:val="none"/>
        </w:rPr>
      </w:pPr>
      <w:r>
        <w:rPr>
          <w:rFonts w:hint="eastAsia" w:hAnsi="宋体"/>
          <w:color w:val="auto"/>
          <w:highlight w:val="none"/>
        </w:rPr>
        <w:t>13.1 合同经双方法定代表人或授权委托代理人签字并加盖单位公章后生效。</w:t>
      </w:r>
    </w:p>
    <w:p>
      <w:pPr>
        <w:pStyle w:val="25"/>
        <w:spacing w:line="360" w:lineRule="auto"/>
        <w:ind w:firstLine="420" w:firstLineChars="200"/>
        <w:rPr>
          <w:rFonts w:hAnsi="宋体"/>
          <w:color w:val="auto"/>
          <w:highlight w:val="none"/>
        </w:rPr>
      </w:pPr>
      <w:r>
        <w:rPr>
          <w:rFonts w:hint="eastAsia" w:hAnsi="宋体"/>
          <w:color w:val="auto"/>
          <w:highlight w:val="none"/>
        </w:rPr>
        <w:t>13.2 合同执行中涉及采购资金和采购内容修改或补充的，须签书面补充协议，方可作为主合同不可分割的一部分。</w:t>
      </w:r>
    </w:p>
    <w:p>
      <w:pPr>
        <w:pStyle w:val="25"/>
        <w:spacing w:line="360" w:lineRule="auto"/>
        <w:ind w:firstLine="420" w:firstLineChars="200"/>
        <w:rPr>
          <w:rFonts w:hAnsi="宋体"/>
          <w:color w:val="auto"/>
          <w:highlight w:val="none"/>
        </w:rPr>
      </w:pPr>
      <w:r>
        <w:rPr>
          <w:rFonts w:hint="eastAsia" w:hAnsi="宋体"/>
          <w:color w:val="auto"/>
          <w:highlight w:val="none"/>
        </w:rPr>
        <w:t>13.3 下述合同附件为本合同不可分割的部分并与本合同具有同等效力：</w:t>
      </w:r>
    </w:p>
    <w:p>
      <w:pPr>
        <w:pStyle w:val="25"/>
        <w:spacing w:line="360" w:lineRule="auto"/>
        <w:ind w:firstLine="420" w:firstLineChars="200"/>
        <w:rPr>
          <w:rFonts w:hAnsi="宋体"/>
          <w:color w:val="auto"/>
          <w:highlight w:val="none"/>
        </w:rPr>
      </w:pPr>
      <w:bookmarkStart w:id="82" w:name="_Toc1568_WPSOffice_Level2"/>
      <w:r>
        <w:rPr>
          <w:rFonts w:hint="eastAsia" w:hAnsi="宋体"/>
          <w:color w:val="auto"/>
          <w:highlight w:val="none"/>
        </w:rPr>
        <w:t>（1）中标通知书；</w:t>
      </w:r>
      <w:bookmarkEnd w:id="82"/>
    </w:p>
    <w:p>
      <w:pPr>
        <w:pStyle w:val="25"/>
        <w:spacing w:line="360" w:lineRule="auto"/>
        <w:ind w:firstLine="420" w:firstLineChars="200"/>
        <w:rPr>
          <w:rFonts w:hAnsi="宋体"/>
          <w:color w:val="auto"/>
          <w:highlight w:val="none"/>
        </w:rPr>
      </w:pPr>
      <w:bookmarkStart w:id="83" w:name="_Toc2368_WPSOffice_Level2"/>
      <w:r>
        <w:rPr>
          <w:rFonts w:hint="eastAsia" w:hAnsi="宋体"/>
          <w:color w:val="auto"/>
          <w:highlight w:val="none"/>
        </w:rPr>
        <w:t>（2）履约保证金交纳证明；</w:t>
      </w:r>
      <w:bookmarkEnd w:id="83"/>
    </w:p>
    <w:p>
      <w:pPr>
        <w:pStyle w:val="25"/>
        <w:spacing w:line="360" w:lineRule="auto"/>
        <w:ind w:firstLine="420" w:firstLineChars="200"/>
        <w:rPr>
          <w:rFonts w:hAnsi="宋体"/>
          <w:color w:val="auto"/>
          <w:highlight w:val="none"/>
        </w:rPr>
      </w:pPr>
      <w:bookmarkStart w:id="84" w:name="_Toc14968_WPSOffice_Level2"/>
      <w:r>
        <w:rPr>
          <w:rFonts w:hint="eastAsia" w:hAnsi="宋体"/>
          <w:color w:val="auto"/>
          <w:highlight w:val="none"/>
        </w:rPr>
        <w:t>（3）招标文件服务需求一览表；</w:t>
      </w:r>
      <w:bookmarkEnd w:id="84"/>
    </w:p>
    <w:p>
      <w:pPr>
        <w:pStyle w:val="25"/>
        <w:spacing w:line="360" w:lineRule="auto"/>
        <w:ind w:firstLine="420" w:firstLineChars="200"/>
        <w:rPr>
          <w:rFonts w:hAnsi="宋体"/>
          <w:color w:val="auto"/>
          <w:highlight w:val="none"/>
        </w:rPr>
      </w:pPr>
      <w:bookmarkStart w:id="85" w:name="_Toc30969_WPSOffice_Level2"/>
      <w:r>
        <w:rPr>
          <w:rFonts w:hint="eastAsia" w:hAnsi="宋体"/>
          <w:color w:val="auto"/>
          <w:highlight w:val="none"/>
        </w:rPr>
        <w:t>（4）招标文件的澄清和修改；</w:t>
      </w:r>
      <w:bookmarkEnd w:id="85"/>
    </w:p>
    <w:p>
      <w:pPr>
        <w:pStyle w:val="25"/>
        <w:spacing w:line="360" w:lineRule="auto"/>
        <w:ind w:firstLine="420" w:firstLineChars="200"/>
        <w:rPr>
          <w:rFonts w:hAnsi="宋体"/>
          <w:color w:val="auto"/>
          <w:highlight w:val="none"/>
        </w:rPr>
      </w:pPr>
      <w:bookmarkStart w:id="86" w:name="_Toc300_WPSOffice_Level2"/>
      <w:r>
        <w:rPr>
          <w:rFonts w:hint="eastAsia" w:hAnsi="宋体"/>
          <w:color w:val="auto"/>
          <w:highlight w:val="none"/>
        </w:rPr>
        <w:t>（5）投标函、报价表；</w:t>
      </w:r>
      <w:bookmarkEnd w:id="86"/>
    </w:p>
    <w:p>
      <w:pPr>
        <w:pStyle w:val="25"/>
        <w:spacing w:line="360" w:lineRule="auto"/>
        <w:ind w:firstLine="420" w:firstLineChars="200"/>
        <w:rPr>
          <w:rFonts w:hAnsi="宋体"/>
          <w:color w:val="auto"/>
          <w:highlight w:val="none"/>
        </w:rPr>
      </w:pPr>
      <w:bookmarkStart w:id="87" w:name="_Toc12002_WPSOffice_Level2"/>
      <w:r>
        <w:rPr>
          <w:rFonts w:hint="eastAsia" w:hAnsi="宋体"/>
          <w:color w:val="auto"/>
          <w:highlight w:val="none"/>
        </w:rPr>
        <w:t>（6）投标服务技术资料表、商务条款偏离表、售后服务承诺书；</w:t>
      </w:r>
      <w:bookmarkEnd w:id="87"/>
    </w:p>
    <w:p>
      <w:pPr>
        <w:pStyle w:val="25"/>
        <w:spacing w:line="360" w:lineRule="auto"/>
        <w:ind w:firstLine="420" w:firstLineChars="200"/>
        <w:rPr>
          <w:rFonts w:hAnsi="宋体"/>
          <w:color w:val="auto"/>
          <w:highlight w:val="none"/>
        </w:rPr>
      </w:pPr>
      <w:bookmarkStart w:id="88" w:name="_Toc24194_WPSOffice_Level2"/>
      <w:r>
        <w:rPr>
          <w:rFonts w:hint="eastAsia" w:hAnsi="宋体"/>
          <w:color w:val="auto"/>
          <w:highlight w:val="none"/>
        </w:rPr>
        <w:t>（7）中标供应商澄清函。</w:t>
      </w:r>
      <w:bookmarkEnd w:id="88"/>
    </w:p>
    <w:p>
      <w:pPr>
        <w:pStyle w:val="25"/>
        <w:spacing w:line="360" w:lineRule="auto"/>
        <w:ind w:firstLine="420" w:firstLineChars="200"/>
        <w:rPr>
          <w:rFonts w:hAnsi="宋体"/>
          <w:color w:val="auto"/>
          <w:highlight w:val="none"/>
        </w:rPr>
      </w:pPr>
      <w:r>
        <w:rPr>
          <w:rFonts w:hint="eastAsia" w:hAnsi="宋体"/>
          <w:color w:val="auto"/>
          <w:highlight w:val="none"/>
        </w:rPr>
        <w:t>13.4 本合同未尽事宜，遵照《中华人民共和国合同法》有关条文执行。</w:t>
      </w:r>
    </w:p>
    <w:p>
      <w:pPr>
        <w:pStyle w:val="25"/>
        <w:spacing w:line="360" w:lineRule="auto"/>
        <w:ind w:firstLine="420" w:firstLineChars="200"/>
        <w:rPr>
          <w:rFonts w:hAnsi="宋体"/>
          <w:color w:val="auto"/>
          <w:highlight w:val="none"/>
        </w:rPr>
      </w:pPr>
      <w:r>
        <w:rPr>
          <w:rFonts w:hint="eastAsia" w:hAnsi="宋体"/>
          <w:color w:val="auto"/>
          <w:highlight w:val="none"/>
        </w:rPr>
        <w:t>13.5 本合同正本一式6份，具有同等法律效力。</w:t>
      </w:r>
    </w:p>
    <w:p>
      <w:pPr>
        <w:pStyle w:val="25"/>
        <w:spacing w:line="360" w:lineRule="auto"/>
        <w:ind w:firstLine="360"/>
        <w:rPr>
          <w:rFonts w:hAnsi="宋体"/>
          <w:color w:val="auto"/>
          <w:highlight w:val="none"/>
        </w:rPr>
      </w:pPr>
    </w:p>
    <w:p>
      <w:pPr>
        <w:pStyle w:val="25"/>
        <w:spacing w:line="360" w:lineRule="auto"/>
        <w:rPr>
          <w:rFonts w:hAnsi="宋体"/>
          <w:color w:val="auto"/>
          <w:highlight w:val="none"/>
        </w:rPr>
      </w:pPr>
    </w:p>
    <w:p>
      <w:pPr>
        <w:pStyle w:val="25"/>
        <w:spacing w:line="360" w:lineRule="auto"/>
        <w:rPr>
          <w:rFonts w:hAnsi="宋体"/>
          <w:color w:val="auto"/>
          <w:highlight w:val="none"/>
          <w:u w:val="singl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 xml:space="preserve">     乙方：</w:t>
      </w:r>
      <w:r>
        <w:rPr>
          <w:rFonts w:hint="eastAsia" w:hAnsi="宋体"/>
          <w:color w:val="auto"/>
          <w:highlight w:val="none"/>
          <w:u w:val="single"/>
        </w:rPr>
        <w:t xml:space="preserve">                         </w:t>
      </w:r>
    </w:p>
    <w:p>
      <w:pPr>
        <w:pStyle w:val="25"/>
        <w:spacing w:line="360" w:lineRule="auto"/>
        <w:ind w:left="5460" w:hanging="5460" w:hangingChars="2600"/>
        <w:rPr>
          <w:rFonts w:hAnsi="宋体"/>
          <w:color w:val="auto"/>
          <w:highlight w:val="none"/>
          <w:u w:val="single"/>
        </w:rPr>
      </w:pPr>
      <w:r>
        <w:rPr>
          <w:rFonts w:hint="eastAsia" w:hAnsi="宋体"/>
          <w:color w:val="auto"/>
          <w:highlight w:val="none"/>
        </w:rPr>
        <w:t>地址：</w:t>
      </w:r>
      <w:r>
        <w:rPr>
          <w:rFonts w:hint="eastAsia" w:hAnsi="宋体"/>
          <w:color w:val="auto"/>
          <w:highlight w:val="none"/>
          <w:u w:val="single"/>
        </w:rPr>
        <w:t xml:space="preserve">                              </w:t>
      </w:r>
      <w:r>
        <w:rPr>
          <w:rFonts w:hint="eastAsia" w:hAnsi="宋体"/>
          <w:color w:val="auto"/>
          <w:highlight w:val="none"/>
        </w:rPr>
        <w:t xml:space="preserve">    地址：</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法定代表人：</w:t>
      </w:r>
      <w:r>
        <w:rPr>
          <w:rFonts w:hint="eastAsia" w:hAnsi="宋体"/>
          <w:color w:val="auto"/>
          <w:highlight w:val="none"/>
          <w:u w:val="single"/>
        </w:rPr>
        <w:t xml:space="preserve">                        </w:t>
      </w:r>
      <w:r>
        <w:rPr>
          <w:rFonts w:hint="eastAsia" w:hAnsi="宋体"/>
          <w:color w:val="auto"/>
          <w:highlight w:val="none"/>
        </w:rPr>
        <w:t xml:space="preserve">    法定代表人：</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委托代理人：</w:t>
      </w:r>
      <w:r>
        <w:rPr>
          <w:rFonts w:hint="eastAsia" w:hAnsi="宋体"/>
          <w:color w:val="auto"/>
          <w:highlight w:val="none"/>
          <w:u w:val="single"/>
        </w:rPr>
        <w:t xml:space="preserve">                       </w:t>
      </w:r>
      <w:r>
        <w:rPr>
          <w:rFonts w:hint="eastAsia" w:hAnsi="宋体"/>
          <w:color w:val="auto"/>
          <w:highlight w:val="none"/>
        </w:rPr>
        <w:t xml:space="preserve">     委托代理人：</w:t>
      </w:r>
      <w:r>
        <w:rPr>
          <w:rFonts w:hint="eastAsia" w:hAnsi="宋体"/>
          <w:color w:val="auto"/>
          <w:highlight w:val="none"/>
          <w:u w:val="single"/>
        </w:rPr>
        <w:t xml:space="preserve">                              </w:t>
      </w:r>
    </w:p>
    <w:p>
      <w:pPr>
        <w:pStyle w:val="25"/>
        <w:spacing w:line="360" w:lineRule="auto"/>
        <w:rPr>
          <w:rFonts w:hAnsi="宋体"/>
          <w:color w:val="auto"/>
          <w:highlight w:val="none"/>
        </w:rPr>
      </w:pPr>
      <w:r>
        <w:rPr>
          <w:rFonts w:hint="eastAsia" w:hAnsi="宋体"/>
          <w:color w:val="auto"/>
          <w:highlight w:val="none"/>
        </w:rPr>
        <w:t xml:space="preserve">电话：   </w:t>
      </w:r>
      <w:r>
        <w:rPr>
          <w:rFonts w:hint="eastAsia" w:hAnsi="宋体"/>
          <w:color w:val="auto"/>
          <w:highlight w:val="none"/>
          <w:u w:val="single"/>
        </w:rPr>
        <w:t xml:space="preserve">                          </w:t>
      </w:r>
      <w:r>
        <w:rPr>
          <w:rFonts w:hint="eastAsia" w:hAnsi="宋体"/>
          <w:color w:val="auto"/>
          <w:highlight w:val="none"/>
        </w:rPr>
        <w:t xml:space="preserve">     电话：</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rPr>
      </w:pPr>
      <w:r>
        <w:rPr>
          <w:rFonts w:hint="eastAsia" w:hAnsi="宋体"/>
          <w:color w:val="auto"/>
          <w:highlight w:val="none"/>
        </w:rPr>
        <w:t>传真：</w:t>
      </w:r>
      <w:r>
        <w:rPr>
          <w:rFonts w:hint="eastAsia" w:hAnsi="宋体"/>
          <w:color w:val="auto"/>
          <w:highlight w:val="none"/>
          <w:u w:val="single"/>
        </w:rPr>
        <w:t xml:space="preserve">                              </w:t>
      </w:r>
      <w:r>
        <w:rPr>
          <w:rFonts w:hint="eastAsia" w:hAnsi="宋体"/>
          <w:color w:val="auto"/>
          <w:highlight w:val="none"/>
        </w:rPr>
        <w:t xml:space="preserve">    传真：</w:t>
      </w:r>
      <w:r>
        <w:rPr>
          <w:rFonts w:hint="eastAsia" w:hAnsi="宋体"/>
          <w:color w:val="auto"/>
          <w:highlight w:val="none"/>
          <w:u w:val="single"/>
        </w:rPr>
        <w:t xml:space="preserve">                                    </w:t>
      </w:r>
      <w:r>
        <w:rPr>
          <w:rFonts w:hint="eastAsia" w:hAnsi="宋体"/>
          <w:color w:val="auto"/>
          <w:highlight w:val="none"/>
        </w:rPr>
        <w:t xml:space="preserve">    </w:t>
      </w:r>
    </w:p>
    <w:p>
      <w:pPr>
        <w:pStyle w:val="25"/>
        <w:spacing w:line="360" w:lineRule="auto"/>
        <w:rPr>
          <w:rFonts w:hAnsi="宋体"/>
          <w:color w:val="auto"/>
          <w:highlight w:val="none"/>
          <w:u w:val="single"/>
        </w:rPr>
      </w:pPr>
      <w:r>
        <w:rPr>
          <w:rFonts w:hint="eastAsia" w:hAnsi="宋体"/>
          <w:color w:val="auto"/>
          <w:highlight w:val="none"/>
        </w:rPr>
        <w:t>邮政编码：</w:t>
      </w:r>
      <w:r>
        <w:rPr>
          <w:rFonts w:hint="eastAsia" w:hAnsi="宋体"/>
          <w:color w:val="auto"/>
          <w:highlight w:val="none"/>
          <w:u w:val="single"/>
        </w:rPr>
        <w:t xml:space="preserve">                          </w:t>
      </w:r>
      <w:r>
        <w:rPr>
          <w:rFonts w:hint="eastAsia" w:hAnsi="宋体"/>
          <w:color w:val="auto"/>
          <w:highlight w:val="none"/>
        </w:rPr>
        <w:t xml:space="preserve">   邮政编码：</w:t>
      </w:r>
      <w:r>
        <w:rPr>
          <w:rFonts w:hint="eastAsia" w:hAnsi="宋体"/>
          <w:color w:val="auto"/>
          <w:highlight w:val="none"/>
          <w:u w:val="single"/>
        </w:rPr>
        <w:t xml:space="preserve">                              </w:t>
      </w:r>
    </w:p>
    <w:p>
      <w:pPr>
        <w:pStyle w:val="25"/>
        <w:spacing w:line="360" w:lineRule="auto"/>
        <w:ind w:firstLine="4095" w:firstLineChars="1950"/>
        <w:rPr>
          <w:rFonts w:hAnsi="宋体"/>
          <w:color w:val="auto"/>
          <w:highlight w:val="none"/>
        </w:rPr>
      </w:pPr>
      <w:r>
        <w:rPr>
          <w:rFonts w:hint="eastAsia" w:hAnsi="宋体"/>
          <w:color w:val="auto"/>
          <w:highlight w:val="none"/>
        </w:rPr>
        <w:t>统一社会代码：</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开户银行：  </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开户名称：</w:t>
      </w:r>
      <w:r>
        <w:rPr>
          <w:rFonts w:hint="eastAsia" w:hAnsi="宋体"/>
          <w:color w:val="auto"/>
          <w:highlight w:val="none"/>
          <w:u w:val="single"/>
        </w:rPr>
        <w:t xml:space="preserve">    </w:t>
      </w:r>
      <w:r>
        <w:rPr>
          <w:rFonts w:hint="eastAsia" w:hAnsi="宋体"/>
          <w:color w:val="auto"/>
          <w:highlight w:val="none"/>
        </w:rPr>
        <w:t xml:space="preserve">  </w:t>
      </w:r>
      <w:r>
        <w:rPr>
          <w:rFonts w:hint="eastAsia" w:hAnsi="宋体"/>
          <w:color w:val="auto"/>
          <w:highlight w:val="none"/>
          <w:u w:val="single"/>
        </w:rPr>
        <w:t xml:space="preserve">                           </w:t>
      </w:r>
    </w:p>
    <w:p>
      <w:pPr>
        <w:pStyle w:val="25"/>
        <w:spacing w:line="360" w:lineRule="auto"/>
        <w:rPr>
          <w:rFonts w:hAnsi="宋体"/>
          <w:color w:val="auto"/>
          <w:highlight w:val="none"/>
          <w:u w:val="single"/>
        </w:rPr>
      </w:pPr>
      <w:r>
        <w:rPr>
          <w:rFonts w:hint="eastAsia" w:hAnsi="宋体"/>
          <w:color w:val="auto"/>
          <w:highlight w:val="none"/>
        </w:rPr>
        <w:t xml:space="preserve">                                       银行账号：</w:t>
      </w:r>
      <w:r>
        <w:rPr>
          <w:rFonts w:hint="eastAsia" w:hAnsi="宋体"/>
          <w:color w:val="auto"/>
          <w:highlight w:val="none"/>
          <w:u w:val="single"/>
        </w:rPr>
        <w:t xml:space="preserve">                             </w:t>
      </w:r>
    </w:p>
    <w:p>
      <w:pPr>
        <w:pStyle w:val="25"/>
        <w:spacing w:line="360" w:lineRule="auto"/>
        <w:rPr>
          <w:rFonts w:hAnsi="宋体"/>
          <w:color w:val="auto"/>
          <w:highlight w:val="none"/>
        </w:rPr>
      </w:pPr>
    </w:p>
    <w:p>
      <w:pPr>
        <w:pStyle w:val="25"/>
        <w:spacing w:line="360" w:lineRule="auto"/>
        <w:rPr>
          <w:rFonts w:hAnsi="宋体"/>
          <w:color w:val="auto"/>
          <w:highlight w:val="none"/>
        </w:rPr>
      </w:pPr>
      <w:r>
        <w:rPr>
          <w:rFonts w:hint="eastAsia" w:hAnsi="宋体"/>
          <w:color w:val="auto"/>
          <w:highlight w:val="none"/>
        </w:rPr>
        <w:t>合同签订地点：广西南宁</w:t>
      </w:r>
    </w:p>
    <w:p>
      <w:pPr>
        <w:pStyle w:val="25"/>
        <w:spacing w:line="360" w:lineRule="auto"/>
        <w:rPr>
          <w:rFonts w:hAnsi="宋体"/>
          <w:color w:val="auto"/>
          <w:sz w:val="24"/>
          <w:szCs w:val="24"/>
          <w:highlight w:val="none"/>
        </w:rPr>
      </w:pPr>
      <w:r>
        <w:rPr>
          <w:rFonts w:hint="eastAsia" w:hAnsi="宋体"/>
          <w:color w:val="auto"/>
          <w:highlight w:val="none"/>
        </w:rPr>
        <w:t>合同签订日期：</w:t>
      </w:r>
      <w:r>
        <w:rPr>
          <w:rFonts w:hint="eastAsia" w:hAnsi="宋体"/>
          <w:color w:val="auto"/>
          <w:highlight w:val="none"/>
          <w:u w:val="single"/>
        </w:rPr>
        <w:t xml:space="preserve">     </w:t>
      </w:r>
      <w:r>
        <w:rPr>
          <w:rFonts w:hint="eastAsia" w:hAnsi="宋体"/>
          <w:color w:val="auto"/>
          <w:highlight w:val="none"/>
        </w:rPr>
        <w:t>年</w:t>
      </w:r>
      <w:r>
        <w:rPr>
          <w:rFonts w:hint="eastAsia" w:hAnsi="宋体"/>
          <w:color w:val="auto"/>
          <w:highlight w:val="none"/>
          <w:u w:val="single"/>
        </w:rPr>
        <w:t xml:space="preserve">    </w:t>
      </w:r>
      <w:r>
        <w:rPr>
          <w:rFonts w:hint="eastAsia" w:hAnsi="宋体"/>
          <w:color w:val="auto"/>
          <w:highlight w:val="none"/>
        </w:rPr>
        <w:t>月</w:t>
      </w:r>
      <w:r>
        <w:rPr>
          <w:rFonts w:hint="eastAsia" w:hAnsi="宋体"/>
          <w:color w:val="auto"/>
          <w:highlight w:val="none"/>
          <w:u w:val="single"/>
        </w:rPr>
        <w:t xml:space="preserve">    </w:t>
      </w:r>
      <w:r>
        <w:rPr>
          <w:rFonts w:hint="eastAsia" w:hAnsi="宋体"/>
          <w:color w:val="auto"/>
          <w:highlight w:val="none"/>
        </w:rPr>
        <w:t>日</w:t>
      </w:r>
    </w:p>
    <w:p>
      <w:pPr>
        <w:jc w:val="center"/>
        <w:rPr>
          <w:color w:val="auto"/>
          <w:highlight w:val="none"/>
        </w:rPr>
      </w:pPr>
    </w:p>
    <w:sectPr>
      <w:headerReference r:id="rId7" w:type="first"/>
      <w:footerReference r:id="rId8" w:type="first"/>
      <w:pgSz w:w="11906" w:h="16838"/>
      <w:pgMar w:top="1418" w:right="1418" w:bottom="1418" w:left="1701"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rebuchet MS">
    <w:panose1 w:val="020B0603020202020204"/>
    <w:charset w:val="00"/>
    <w:family w:val="swiss"/>
    <w:pitch w:val="default"/>
    <w:sig w:usb0="00000287" w:usb1="00000000" w:usb2="00000000" w:usb3="00000000" w:csb0="2000009F" w:csb1="00000000"/>
  </w:font>
  <w:font w:name="等线">
    <w:altName w:val="微软雅黑"/>
    <w:panose1 w:val="00000000000000000000"/>
    <w:charset w:val="86"/>
    <w:family w:val="auto"/>
    <w:pitch w:val="default"/>
    <w:sig w:usb0="00000000" w:usb1="00000000" w:usb2="00000016" w:usb3="00000000" w:csb0="0004000F" w:csb1="00000000"/>
  </w:font>
  <w:font w:name="MingLiU_HKSCS">
    <w:panose1 w:val="02020500000000000000"/>
    <w:charset w:val="88"/>
    <w:family w:val="roman"/>
    <w:pitch w:val="default"/>
    <w:sig w:usb0="A00002FF" w:usb1="38CFFCFA" w:usb2="00000016" w:usb3="00000000" w:csb0="0010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separate"/>
    </w:r>
    <w:r>
      <w:rPr>
        <w:rStyle w:val="53"/>
      </w:rPr>
      <w:t>7</w:t>
    </w:r>
    <w:r>
      <w:rPr>
        <w:rStyle w:val="53"/>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3"/>
      </w:rPr>
    </w:pPr>
    <w:r>
      <w:rPr>
        <w:rStyle w:val="53"/>
      </w:rPr>
      <w:fldChar w:fldCharType="begin"/>
    </w:r>
    <w:r>
      <w:rPr>
        <w:rStyle w:val="53"/>
      </w:rPr>
      <w:instrText xml:space="preserve">PAGE  </w:instrText>
    </w:r>
    <w:r>
      <w:rPr>
        <w:rStyle w:val="53"/>
      </w:rPr>
      <w:fldChar w:fldCharType="end"/>
    </w:r>
  </w:p>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right"/>
      <w:rPr>
        <w:bCs/>
      </w:rPr>
    </w:pPr>
    <w:r>
      <w:rPr>
        <w:rFonts w:hint="eastAsia" w:ascii="宋体" w:hAnsi="宋体"/>
        <w:bCs/>
      </w:rPr>
      <w:t>除“四害”综合治理服务采购</w:t>
    </w:r>
    <w:r>
      <w:rPr>
        <w:rFonts w:hint="eastAsia" w:ascii="宋体" w:hAnsi="宋体" w:cs="宋体"/>
        <w:b w:val="0"/>
        <w:bCs w:val="0"/>
        <w:color w:val="111F2C"/>
        <w:sz w:val="21"/>
        <w:szCs w:val="21"/>
        <w:shd w:val="clear" w:color="auto" w:fill="FFFFFF"/>
      </w:rPr>
      <w:t>GIEG2020HZ-0041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377E09"/>
    <w:multiLevelType w:val="singleLevel"/>
    <w:tmpl w:val="AB377E09"/>
    <w:lvl w:ilvl="0" w:tentative="0">
      <w:start w:val="10"/>
      <w:numFmt w:val="chineseCounting"/>
      <w:suff w:val="nothing"/>
      <w:lvlText w:val="%1、"/>
      <w:lvlJc w:val="left"/>
      <w:rPr>
        <w:rFonts w:hint="eastAsia"/>
      </w:rPr>
    </w:lvl>
  </w:abstractNum>
  <w:abstractNum w:abstractNumId="1">
    <w:nsid w:val="FFFFFF7E"/>
    <w:multiLevelType w:val="singleLevel"/>
    <w:tmpl w:val="FFFFFF7E"/>
    <w:lvl w:ilvl="0" w:tentative="0">
      <w:start w:val="1"/>
      <w:numFmt w:val="decimal"/>
      <w:pStyle w:val="21"/>
      <w:lvlText w:val="%1."/>
      <w:lvlJc w:val="left"/>
      <w:pPr>
        <w:tabs>
          <w:tab w:val="left" w:pos="1200"/>
        </w:tabs>
        <w:ind w:left="1200" w:leftChars="400" w:hanging="360" w:hangingChars="200"/>
      </w:pPr>
    </w:lvl>
  </w:abstractNum>
  <w:abstractNum w:abstractNumId="2">
    <w:nsid w:val="06818643"/>
    <w:multiLevelType w:val="singleLevel"/>
    <w:tmpl w:val="06818643"/>
    <w:lvl w:ilvl="0" w:tentative="0">
      <w:start w:val="1"/>
      <w:numFmt w:val="chineseCounting"/>
      <w:suff w:val="nothing"/>
      <w:lvlText w:val="%1、"/>
      <w:lvlJc w:val="left"/>
      <w:rPr>
        <w:rFonts w:hint="eastAsia"/>
      </w:rPr>
    </w:lvl>
  </w:abstractNum>
  <w:abstractNum w:abstractNumId="3">
    <w:nsid w:val="076C7C35"/>
    <w:multiLevelType w:val="multilevel"/>
    <w:tmpl w:val="076C7C35"/>
    <w:lvl w:ilvl="0" w:tentative="0">
      <w:start w:val="1"/>
      <w:numFmt w:val="decimal"/>
      <w:pStyle w:val="121"/>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170541F2"/>
    <w:multiLevelType w:val="multilevel"/>
    <w:tmpl w:val="170541F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9D416A9"/>
    <w:multiLevelType w:val="multilevel"/>
    <w:tmpl w:val="19D416A9"/>
    <w:lvl w:ilvl="0" w:tentative="0">
      <w:start w:val="1"/>
      <w:numFmt w:val="japaneseCounting"/>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7">
    <w:nsid w:val="4F886337"/>
    <w:multiLevelType w:val="multilevel"/>
    <w:tmpl w:val="4F886337"/>
    <w:lvl w:ilvl="0" w:tentative="0">
      <w:start w:val="1"/>
      <w:numFmt w:val="decimal"/>
      <w:pStyle w:val="138"/>
      <w:lvlText w:val="（%1）"/>
      <w:lvlJc w:val="left"/>
      <w:pPr>
        <w:ind w:left="1275" w:hanging="750"/>
      </w:pPr>
      <w:rPr>
        <w:rFonts w:hint="default"/>
        <w:lang w:val="en-US"/>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8">
    <w:nsid w:val="4FF1187F"/>
    <w:multiLevelType w:val="multilevel"/>
    <w:tmpl w:val="4FF1187F"/>
    <w:lvl w:ilvl="0" w:tentative="0">
      <w:start w:val="1"/>
      <w:numFmt w:val="decimal"/>
      <w:pStyle w:val="136"/>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9">
    <w:nsid w:val="53016673"/>
    <w:multiLevelType w:val="singleLevel"/>
    <w:tmpl w:val="53016673"/>
    <w:lvl w:ilvl="0" w:tentative="0">
      <w:start w:val="4"/>
      <w:numFmt w:val="decimal"/>
      <w:suff w:val="nothing"/>
      <w:lvlText w:val="%1."/>
      <w:lvlJc w:val="left"/>
      <w:rPr>
        <w:rFonts w:cs="Times New Roman"/>
      </w:rPr>
    </w:lvl>
  </w:abstractNum>
  <w:abstractNum w:abstractNumId="10">
    <w:nsid w:val="56E83EA1"/>
    <w:multiLevelType w:val="multilevel"/>
    <w:tmpl w:val="56E83EA1"/>
    <w:lvl w:ilvl="0" w:tentative="0">
      <w:start w:val="1"/>
      <w:numFmt w:val="decimal"/>
      <w:pStyle w:val="134"/>
      <w:lvlText w:val="%1."/>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1"/>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7"/>
  </w:num>
  <w:num w:numId="7">
    <w:abstractNumId w:val="4"/>
  </w:num>
  <w:num w:numId="8">
    <w:abstractNumId w:val="0"/>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hideGrammaticalError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B14"/>
    <w:rsid w:val="00000672"/>
    <w:rsid w:val="00001A25"/>
    <w:rsid w:val="00001AD6"/>
    <w:rsid w:val="000021E2"/>
    <w:rsid w:val="000025AB"/>
    <w:rsid w:val="000029ED"/>
    <w:rsid w:val="00002AF7"/>
    <w:rsid w:val="00003442"/>
    <w:rsid w:val="000039E6"/>
    <w:rsid w:val="00003FC2"/>
    <w:rsid w:val="00005897"/>
    <w:rsid w:val="000065E3"/>
    <w:rsid w:val="000071E8"/>
    <w:rsid w:val="00010566"/>
    <w:rsid w:val="00010914"/>
    <w:rsid w:val="00010D86"/>
    <w:rsid w:val="00010E36"/>
    <w:rsid w:val="0001172C"/>
    <w:rsid w:val="00012854"/>
    <w:rsid w:val="000132E8"/>
    <w:rsid w:val="00014E30"/>
    <w:rsid w:val="00014F5B"/>
    <w:rsid w:val="00015487"/>
    <w:rsid w:val="00015515"/>
    <w:rsid w:val="00020134"/>
    <w:rsid w:val="00020F74"/>
    <w:rsid w:val="0002190F"/>
    <w:rsid w:val="000222F3"/>
    <w:rsid w:val="00022792"/>
    <w:rsid w:val="00023BE8"/>
    <w:rsid w:val="00024027"/>
    <w:rsid w:val="0002585A"/>
    <w:rsid w:val="00025E36"/>
    <w:rsid w:val="000269AB"/>
    <w:rsid w:val="000269ED"/>
    <w:rsid w:val="00026C29"/>
    <w:rsid w:val="000273E9"/>
    <w:rsid w:val="00027A5F"/>
    <w:rsid w:val="00027DE1"/>
    <w:rsid w:val="000307E9"/>
    <w:rsid w:val="00032114"/>
    <w:rsid w:val="00033A5B"/>
    <w:rsid w:val="00037171"/>
    <w:rsid w:val="000371E3"/>
    <w:rsid w:val="000411B4"/>
    <w:rsid w:val="00042CB8"/>
    <w:rsid w:val="0004440C"/>
    <w:rsid w:val="00044F9A"/>
    <w:rsid w:val="0004597C"/>
    <w:rsid w:val="000466AA"/>
    <w:rsid w:val="000467A4"/>
    <w:rsid w:val="00047131"/>
    <w:rsid w:val="000509D9"/>
    <w:rsid w:val="0005234F"/>
    <w:rsid w:val="00053428"/>
    <w:rsid w:val="0005401A"/>
    <w:rsid w:val="000545D5"/>
    <w:rsid w:val="00054880"/>
    <w:rsid w:val="00060B8B"/>
    <w:rsid w:val="00060E46"/>
    <w:rsid w:val="00062A8B"/>
    <w:rsid w:val="00062AA4"/>
    <w:rsid w:val="000643ED"/>
    <w:rsid w:val="00064847"/>
    <w:rsid w:val="00065B14"/>
    <w:rsid w:val="00065ED2"/>
    <w:rsid w:val="000673E2"/>
    <w:rsid w:val="00067CAF"/>
    <w:rsid w:val="0007068E"/>
    <w:rsid w:val="000711E4"/>
    <w:rsid w:val="00072DA9"/>
    <w:rsid w:val="00073325"/>
    <w:rsid w:val="00077F49"/>
    <w:rsid w:val="00080988"/>
    <w:rsid w:val="00082585"/>
    <w:rsid w:val="00083B5D"/>
    <w:rsid w:val="00085EC4"/>
    <w:rsid w:val="00086D6B"/>
    <w:rsid w:val="00091AD7"/>
    <w:rsid w:val="00091DCC"/>
    <w:rsid w:val="00091FCA"/>
    <w:rsid w:val="00092A1C"/>
    <w:rsid w:val="000958A8"/>
    <w:rsid w:val="000973B5"/>
    <w:rsid w:val="00097775"/>
    <w:rsid w:val="000A3D54"/>
    <w:rsid w:val="000A4419"/>
    <w:rsid w:val="000A520D"/>
    <w:rsid w:val="000A6046"/>
    <w:rsid w:val="000A6622"/>
    <w:rsid w:val="000A7A12"/>
    <w:rsid w:val="000B1EDF"/>
    <w:rsid w:val="000B2EF8"/>
    <w:rsid w:val="000B2F30"/>
    <w:rsid w:val="000B3B98"/>
    <w:rsid w:val="000B4428"/>
    <w:rsid w:val="000B4A1E"/>
    <w:rsid w:val="000B6D5D"/>
    <w:rsid w:val="000C3476"/>
    <w:rsid w:val="000C3771"/>
    <w:rsid w:val="000C56E0"/>
    <w:rsid w:val="000C7B1D"/>
    <w:rsid w:val="000D0515"/>
    <w:rsid w:val="000D0A89"/>
    <w:rsid w:val="000D2626"/>
    <w:rsid w:val="000D41D5"/>
    <w:rsid w:val="000D73DD"/>
    <w:rsid w:val="000E03CB"/>
    <w:rsid w:val="000E1989"/>
    <w:rsid w:val="000E46A6"/>
    <w:rsid w:val="000E4E23"/>
    <w:rsid w:val="000E56FD"/>
    <w:rsid w:val="000E6A23"/>
    <w:rsid w:val="000E747D"/>
    <w:rsid w:val="000F0EB3"/>
    <w:rsid w:val="000F0F35"/>
    <w:rsid w:val="000F3733"/>
    <w:rsid w:val="000F3B79"/>
    <w:rsid w:val="000F42CA"/>
    <w:rsid w:val="000F6DD9"/>
    <w:rsid w:val="001005C6"/>
    <w:rsid w:val="001009F5"/>
    <w:rsid w:val="001020ED"/>
    <w:rsid w:val="00102C16"/>
    <w:rsid w:val="00102FE0"/>
    <w:rsid w:val="00103918"/>
    <w:rsid w:val="00103E83"/>
    <w:rsid w:val="00104897"/>
    <w:rsid w:val="00104EDE"/>
    <w:rsid w:val="00105636"/>
    <w:rsid w:val="001066DD"/>
    <w:rsid w:val="001069B9"/>
    <w:rsid w:val="00106BEE"/>
    <w:rsid w:val="00110236"/>
    <w:rsid w:val="00111624"/>
    <w:rsid w:val="001118F4"/>
    <w:rsid w:val="0011510A"/>
    <w:rsid w:val="001155E7"/>
    <w:rsid w:val="0011608D"/>
    <w:rsid w:val="001168F0"/>
    <w:rsid w:val="00117F08"/>
    <w:rsid w:val="0012195F"/>
    <w:rsid w:val="00122064"/>
    <w:rsid w:val="00122941"/>
    <w:rsid w:val="00123F38"/>
    <w:rsid w:val="001255F8"/>
    <w:rsid w:val="00125E07"/>
    <w:rsid w:val="00126277"/>
    <w:rsid w:val="001263B8"/>
    <w:rsid w:val="00127D8A"/>
    <w:rsid w:val="001302BD"/>
    <w:rsid w:val="00130D92"/>
    <w:rsid w:val="001317C3"/>
    <w:rsid w:val="00133042"/>
    <w:rsid w:val="001337A4"/>
    <w:rsid w:val="00134C8F"/>
    <w:rsid w:val="00141C9C"/>
    <w:rsid w:val="00143ACD"/>
    <w:rsid w:val="0014459D"/>
    <w:rsid w:val="001448D5"/>
    <w:rsid w:val="00147134"/>
    <w:rsid w:val="00147802"/>
    <w:rsid w:val="0015138F"/>
    <w:rsid w:val="00151627"/>
    <w:rsid w:val="00151CD1"/>
    <w:rsid w:val="00151F4F"/>
    <w:rsid w:val="0015202A"/>
    <w:rsid w:val="00152FC1"/>
    <w:rsid w:val="00153750"/>
    <w:rsid w:val="0015413C"/>
    <w:rsid w:val="001542FC"/>
    <w:rsid w:val="001558B7"/>
    <w:rsid w:val="001561F6"/>
    <w:rsid w:val="0015688F"/>
    <w:rsid w:val="001609C5"/>
    <w:rsid w:val="0016420C"/>
    <w:rsid w:val="00164EC0"/>
    <w:rsid w:val="001661A3"/>
    <w:rsid w:val="00167E66"/>
    <w:rsid w:val="00170485"/>
    <w:rsid w:val="00171374"/>
    <w:rsid w:val="001720D2"/>
    <w:rsid w:val="0017223D"/>
    <w:rsid w:val="00173C68"/>
    <w:rsid w:val="00175BA6"/>
    <w:rsid w:val="00176909"/>
    <w:rsid w:val="00176D15"/>
    <w:rsid w:val="001778C5"/>
    <w:rsid w:val="00177B28"/>
    <w:rsid w:val="001801EF"/>
    <w:rsid w:val="00180209"/>
    <w:rsid w:val="001811F8"/>
    <w:rsid w:val="00182370"/>
    <w:rsid w:val="00182921"/>
    <w:rsid w:val="00182E7E"/>
    <w:rsid w:val="001844F7"/>
    <w:rsid w:val="0018466C"/>
    <w:rsid w:val="001849C9"/>
    <w:rsid w:val="00185617"/>
    <w:rsid w:val="001869B8"/>
    <w:rsid w:val="00186E62"/>
    <w:rsid w:val="0019181F"/>
    <w:rsid w:val="0019231C"/>
    <w:rsid w:val="00192E96"/>
    <w:rsid w:val="00192EE0"/>
    <w:rsid w:val="001A02B3"/>
    <w:rsid w:val="001A037B"/>
    <w:rsid w:val="001A0A06"/>
    <w:rsid w:val="001A26CD"/>
    <w:rsid w:val="001A3EDE"/>
    <w:rsid w:val="001A4DBA"/>
    <w:rsid w:val="001A55CA"/>
    <w:rsid w:val="001A563F"/>
    <w:rsid w:val="001A5E24"/>
    <w:rsid w:val="001A687B"/>
    <w:rsid w:val="001A69F8"/>
    <w:rsid w:val="001A6D8B"/>
    <w:rsid w:val="001B00A8"/>
    <w:rsid w:val="001B05DD"/>
    <w:rsid w:val="001B09B9"/>
    <w:rsid w:val="001B1BD1"/>
    <w:rsid w:val="001B1CAC"/>
    <w:rsid w:val="001B2CE3"/>
    <w:rsid w:val="001B37A0"/>
    <w:rsid w:val="001B487F"/>
    <w:rsid w:val="001B52D1"/>
    <w:rsid w:val="001B7052"/>
    <w:rsid w:val="001B7F00"/>
    <w:rsid w:val="001C006E"/>
    <w:rsid w:val="001C086E"/>
    <w:rsid w:val="001C1071"/>
    <w:rsid w:val="001C1E34"/>
    <w:rsid w:val="001C20B2"/>
    <w:rsid w:val="001C6CB0"/>
    <w:rsid w:val="001D0B7F"/>
    <w:rsid w:val="001D1712"/>
    <w:rsid w:val="001D17EE"/>
    <w:rsid w:val="001D18E0"/>
    <w:rsid w:val="001D234F"/>
    <w:rsid w:val="001D255E"/>
    <w:rsid w:val="001D4A05"/>
    <w:rsid w:val="001D5A8A"/>
    <w:rsid w:val="001D5D9C"/>
    <w:rsid w:val="001D6B8C"/>
    <w:rsid w:val="001D71F1"/>
    <w:rsid w:val="001D721C"/>
    <w:rsid w:val="001E129E"/>
    <w:rsid w:val="001E1E6A"/>
    <w:rsid w:val="001E2052"/>
    <w:rsid w:val="001E2B15"/>
    <w:rsid w:val="001E4232"/>
    <w:rsid w:val="001E474A"/>
    <w:rsid w:val="001E798B"/>
    <w:rsid w:val="001F0E52"/>
    <w:rsid w:val="001F325C"/>
    <w:rsid w:val="001F4002"/>
    <w:rsid w:val="001F678E"/>
    <w:rsid w:val="00200851"/>
    <w:rsid w:val="00201588"/>
    <w:rsid w:val="00201E89"/>
    <w:rsid w:val="0020307F"/>
    <w:rsid w:val="002035B4"/>
    <w:rsid w:val="00203825"/>
    <w:rsid w:val="00204133"/>
    <w:rsid w:val="0020437A"/>
    <w:rsid w:val="002048D4"/>
    <w:rsid w:val="0020517D"/>
    <w:rsid w:val="00211433"/>
    <w:rsid w:val="002114C7"/>
    <w:rsid w:val="00211A29"/>
    <w:rsid w:val="0021221E"/>
    <w:rsid w:val="00213066"/>
    <w:rsid w:val="00215314"/>
    <w:rsid w:val="002156AE"/>
    <w:rsid w:val="00216D43"/>
    <w:rsid w:val="00216F6B"/>
    <w:rsid w:val="0021738A"/>
    <w:rsid w:val="00222879"/>
    <w:rsid w:val="002237DB"/>
    <w:rsid w:val="00223C07"/>
    <w:rsid w:val="00227954"/>
    <w:rsid w:val="002300AC"/>
    <w:rsid w:val="00231B89"/>
    <w:rsid w:val="00231DF9"/>
    <w:rsid w:val="00231FA2"/>
    <w:rsid w:val="0023394E"/>
    <w:rsid w:val="00234045"/>
    <w:rsid w:val="00234FE0"/>
    <w:rsid w:val="002355BE"/>
    <w:rsid w:val="0023639C"/>
    <w:rsid w:val="00237020"/>
    <w:rsid w:val="002371B5"/>
    <w:rsid w:val="00237E01"/>
    <w:rsid w:val="00242682"/>
    <w:rsid w:val="002439AB"/>
    <w:rsid w:val="00244B22"/>
    <w:rsid w:val="00245F2B"/>
    <w:rsid w:val="002511B0"/>
    <w:rsid w:val="002518B9"/>
    <w:rsid w:val="0025394B"/>
    <w:rsid w:val="002560B6"/>
    <w:rsid w:val="002566B1"/>
    <w:rsid w:val="00260CFF"/>
    <w:rsid w:val="00261E30"/>
    <w:rsid w:val="0026295D"/>
    <w:rsid w:val="002642EF"/>
    <w:rsid w:val="002657FB"/>
    <w:rsid w:val="00265907"/>
    <w:rsid w:val="00267ECE"/>
    <w:rsid w:val="00280DC8"/>
    <w:rsid w:val="002835B0"/>
    <w:rsid w:val="00283761"/>
    <w:rsid w:val="00283B01"/>
    <w:rsid w:val="00284567"/>
    <w:rsid w:val="0028463A"/>
    <w:rsid w:val="00285063"/>
    <w:rsid w:val="00287763"/>
    <w:rsid w:val="00293B43"/>
    <w:rsid w:val="002952AF"/>
    <w:rsid w:val="002952B6"/>
    <w:rsid w:val="00295D11"/>
    <w:rsid w:val="00296B83"/>
    <w:rsid w:val="00297A2B"/>
    <w:rsid w:val="002A018B"/>
    <w:rsid w:val="002A33C7"/>
    <w:rsid w:val="002A34C4"/>
    <w:rsid w:val="002A5D15"/>
    <w:rsid w:val="002B2DD4"/>
    <w:rsid w:val="002B320E"/>
    <w:rsid w:val="002B356B"/>
    <w:rsid w:val="002B4798"/>
    <w:rsid w:val="002B5E20"/>
    <w:rsid w:val="002B7988"/>
    <w:rsid w:val="002C0C1C"/>
    <w:rsid w:val="002C18C8"/>
    <w:rsid w:val="002C5420"/>
    <w:rsid w:val="002C6772"/>
    <w:rsid w:val="002C6AD4"/>
    <w:rsid w:val="002D08B3"/>
    <w:rsid w:val="002D4B03"/>
    <w:rsid w:val="002D5449"/>
    <w:rsid w:val="002D5726"/>
    <w:rsid w:val="002D63CD"/>
    <w:rsid w:val="002D6A5B"/>
    <w:rsid w:val="002D7648"/>
    <w:rsid w:val="002D79BC"/>
    <w:rsid w:val="002E05CF"/>
    <w:rsid w:val="002E0980"/>
    <w:rsid w:val="002E109C"/>
    <w:rsid w:val="002E1A1E"/>
    <w:rsid w:val="002E3AB9"/>
    <w:rsid w:val="002F199D"/>
    <w:rsid w:val="002F3202"/>
    <w:rsid w:val="002F34CE"/>
    <w:rsid w:val="002F460A"/>
    <w:rsid w:val="002F5188"/>
    <w:rsid w:val="002F63E5"/>
    <w:rsid w:val="002F6B36"/>
    <w:rsid w:val="002F768C"/>
    <w:rsid w:val="002F7912"/>
    <w:rsid w:val="002F7D1E"/>
    <w:rsid w:val="003019A4"/>
    <w:rsid w:val="00301A1A"/>
    <w:rsid w:val="00302E54"/>
    <w:rsid w:val="00303F2B"/>
    <w:rsid w:val="0030400D"/>
    <w:rsid w:val="003067AA"/>
    <w:rsid w:val="00306FCC"/>
    <w:rsid w:val="003108A6"/>
    <w:rsid w:val="0031380E"/>
    <w:rsid w:val="00313DB8"/>
    <w:rsid w:val="003141F7"/>
    <w:rsid w:val="00314469"/>
    <w:rsid w:val="00317BA7"/>
    <w:rsid w:val="00317E5D"/>
    <w:rsid w:val="00322520"/>
    <w:rsid w:val="00324D63"/>
    <w:rsid w:val="00327D41"/>
    <w:rsid w:val="003324C5"/>
    <w:rsid w:val="003329B3"/>
    <w:rsid w:val="00333089"/>
    <w:rsid w:val="00334AE1"/>
    <w:rsid w:val="003357F1"/>
    <w:rsid w:val="00335DC5"/>
    <w:rsid w:val="0033691E"/>
    <w:rsid w:val="0033735F"/>
    <w:rsid w:val="003374B7"/>
    <w:rsid w:val="003412DB"/>
    <w:rsid w:val="003416BA"/>
    <w:rsid w:val="00342D82"/>
    <w:rsid w:val="00342F99"/>
    <w:rsid w:val="00343568"/>
    <w:rsid w:val="0034501B"/>
    <w:rsid w:val="00346224"/>
    <w:rsid w:val="00346910"/>
    <w:rsid w:val="003469A0"/>
    <w:rsid w:val="00346C05"/>
    <w:rsid w:val="00347A53"/>
    <w:rsid w:val="00347D20"/>
    <w:rsid w:val="00350527"/>
    <w:rsid w:val="003505DC"/>
    <w:rsid w:val="003512EE"/>
    <w:rsid w:val="00351898"/>
    <w:rsid w:val="003518A6"/>
    <w:rsid w:val="00355125"/>
    <w:rsid w:val="00356988"/>
    <w:rsid w:val="00362E0B"/>
    <w:rsid w:val="00363E66"/>
    <w:rsid w:val="00363FEF"/>
    <w:rsid w:val="00364034"/>
    <w:rsid w:val="00366683"/>
    <w:rsid w:val="00370DC7"/>
    <w:rsid w:val="00371539"/>
    <w:rsid w:val="0037626E"/>
    <w:rsid w:val="00380BA9"/>
    <w:rsid w:val="00381224"/>
    <w:rsid w:val="00381606"/>
    <w:rsid w:val="00382B81"/>
    <w:rsid w:val="003841FF"/>
    <w:rsid w:val="0038722C"/>
    <w:rsid w:val="003875A4"/>
    <w:rsid w:val="00387610"/>
    <w:rsid w:val="00387620"/>
    <w:rsid w:val="00390286"/>
    <w:rsid w:val="003936AA"/>
    <w:rsid w:val="00393EC8"/>
    <w:rsid w:val="00394910"/>
    <w:rsid w:val="00396A2D"/>
    <w:rsid w:val="00396CA3"/>
    <w:rsid w:val="00396FC3"/>
    <w:rsid w:val="0039722A"/>
    <w:rsid w:val="00397BC9"/>
    <w:rsid w:val="003A2C81"/>
    <w:rsid w:val="003A374D"/>
    <w:rsid w:val="003A5758"/>
    <w:rsid w:val="003A64BB"/>
    <w:rsid w:val="003A6B80"/>
    <w:rsid w:val="003B0B6A"/>
    <w:rsid w:val="003B0D5E"/>
    <w:rsid w:val="003B1D17"/>
    <w:rsid w:val="003B1E5B"/>
    <w:rsid w:val="003B2199"/>
    <w:rsid w:val="003B29CF"/>
    <w:rsid w:val="003B31AB"/>
    <w:rsid w:val="003B497F"/>
    <w:rsid w:val="003B4A36"/>
    <w:rsid w:val="003B54A5"/>
    <w:rsid w:val="003C071B"/>
    <w:rsid w:val="003C08E4"/>
    <w:rsid w:val="003C1BD9"/>
    <w:rsid w:val="003C2366"/>
    <w:rsid w:val="003C3BA0"/>
    <w:rsid w:val="003C4580"/>
    <w:rsid w:val="003C497F"/>
    <w:rsid w:val="003C6746"/>
    <w:rsid w:val="003C7252"/>
    <w:rsid w:val="003C7AA3"/>
    <w:rsid w:val="003C7F0D"/>
    <w:rsid w:val="003D0E07"/>
    <w:rsid w:val="003D26D0"/>
    <w:rsid w:val="003D385B"/>
    <w:rsid w:val="003D50B5"/>
    <w:rsid w:val="003D65D8"/>
    <w:rsid w:val="003D6E57"/>
    <w:rsid w:val="003D7CE8"/>
    <w:rsid w:val="003E1B3A"/>
    <w:rsid w:val="003E285E"/>
    <w:rsid w:val="003E3300"/>
    <w:rsid w:val="003E5ABF"/>
    <w:rsid w:val="003E71A7"/>
    <w:rsid w:val="003E72B9"/>
    <w:rsid w:val="003E7311"/>
    <w:rsid w:val="003F0B1A"/>
    <w:rsid w:val="003F1DB9"/>
    <w:rsid w:val="003F41F0"/>
    <w:rsid w:val="003F47BA"/>
    <w:rsid w:val="003F5897"/>
    <w:rsid w:val="003F6617"/>
    <w:rsid w:val="003F726A"/>
    <w:rsid w:val="0040118D"/>
    <w:rsid w:val="00401529"/>
    <w:rsid w:val="0040569C"/>
    <w:rsid w:val="004067A1"/>
    <w:rsid w:val="00413D4C"/>
    <w:rsid w:val="00414A54"/>
    <w:rsid w:val="00414CE6"/>
    <w:rsid w:val="00414DA2"/>
    <w:rsid w:val="00415977"/>
    <w:rsid w:val="00415F25"/>
    <w:rsid w:val="00417BAA"/>
    <w:rsid w:val="004212F2"/>
    <w:rsid w:val="00422204"/>
    <w:rsid w:val="00422238"/>
    <w:rsid w:val="00422A10"/>
    <w:rsid w:val="00422CF5"/>
    <w:rsid w:val="00424A99"/>
    <w:rsid w:val="00425C8B"/>
    <w:rsid w:val="00425CCB"/>
    <w:rsid w:val="00427713"/>
    <w:rsid w:val="00430063"/>
    <w:rsid w:val="00430218"/>
    <w:rsid w:val="00432589"/>
    <w:rsid w:val="00432892"/>
    <w:rsid w:val="00432896"/>
    <w:rsid w:val="00432E8B"/>
    <w:rsid w:val="00433556"/>
    <w:rsid w:val="00433B60"/>
    <w:rsid w:val="00436AD4"/>
    <w:rsid w:val="004379E7"/>
    <w:rsid w:val="00441103"/>
    <w:rsid w:val="00441DF9"/>
    <w:rsid w:val="004420DF"/>
    <w:rsid w:val="004433CB"/>
    <w:rsid w:val="0044372F"/>
    <w:rsid w:val="00445A2F"/>
    <w:rsid w:val="00445D65"/>
    <w:rsid w:val="0044684E"/>
    <w:rsid w:val="00450311"/>
    <w:rsid w:val="00450555"/>
    <w:rsid w:val="00452AE1"/>
    <w:rsid w:val="00454347"/>
    <w:rsid w:val="004572F3"/>
    <w:rsid w:val="00460531"/>
    <w:rsid w:val="00460A50"/>
    <w:rsid w:val="00460E8F"/>
    <w:rsid w:val="00461EBA"/>
    <w:rsid w:val="00462D42"/>
    <w:rsid w:val="004633B9"/>
    <w:rsid w:val="00463AB2"/>
    <w:rsid w:val="00464261"/>
    <w:rsid w:val="00464D90"/>
    <w:rsid w:val="0046570E"/>
    <w:rsid w:val="0047119F"/>
    <w:rsid w:val="0047191D"/>
    <w:rsid w:val="00472489"/>
    <w:rsid w:val="00473128"/>
    <w:rsid w:val="00475A17"/>
    <w:rsid w:val="00475BF4"/>
    <w:rsid w:val="004761F2"/>
    <w:rsid w:val="004763CD"/>
    <w:rsid w:val="004770EE"/>
    <w:rsid w:val="004779D3"/>
    <w:rsid w:val="00477DBF"/>
    <w:rsid w:val="00480372"/>
    <w:rsid w:val="004816C9"/>
    <w:rsid w:val="00481FC3"/>
    <w:rsid w:val="0048204C"/>
    <w:rsid w:val="004826FE"/>
    <w:rsid w:val="00484B69"/>
    <w:rsid w:val="0048590F"/>
    <w:rsid w:val="00485961"/>
    <w:rsid w:val="004867A2"/>
    <w:rsid w:val="00486951"/>
    <w:rsid w:val="00486971"/>
    <w:rsid w:val="00486FD8"/>
    <w:rsid w:val="004879A0"/>
    <w:rsid w:val="00490A07"/>
    <w:rsid w:val="004921F9"/>
    <w:rsid w:val="00492A25"/>
    <w:rsid w:val="004930FB"/>
    <w:rsid w:val="0049585A"/>
    <w:rsid w:val="00495C30"/>
    <w:rsid w:val="004A0457"/>
    <w:rsid w:val="004A1405"/>
    <w:rsid w:val="004A2541"/>
    <w:rsid w:val="004A279F"/>
    <w:rsid w:val="004A2BFE"/>
    <w:rsid w:val="004A381E"/>
    <w:rsid w:val="004A5A21"/>
    <w:rsid w:val="004A5F1A"/>
    <w:rsid w:val="004A786A"/>
    <w:rsid w:val="004A7917"/>
    <w:rsid w:val="004A7EF2"/>
    <w:rsid w:val="004B011D"/>
    <w:rsid w:val="004B1FF5"/>
    <w:rsid w:val="004B29AC"/>
    <w:rsid w:val="004B3723"/>
    <w:rsid w:val="004B72F8"/>
    <w:rsid w:val="004C1137"/>
    <w:rsid w:val="004C4EF9"/>
    <w:rsid w:val="004C51FD"/>
    <w:rsid w:val="004C5987"/>
    <w:rsid w:val="004C6625"/>
    <w:rsid w:val="004C7393"/>
    <w:rsid w:val="004C7913"/>
    <w:rsid w:val="004D04ED"/>
    <w:rsid w:val="004D140D"/>
    <w:rsid w:val="004D1C9A"/>
    <w:rsid w:val="004D2499"/>
    <w:rsid w:val="004D29ED"/>
    <w:rsid w:val="004D35BA"/>
    <w:rsid w:val="004D377F"/>
    <w:rsid w:val="004D41DD"/>
    <w:rsid w:val="004D5599"/>
    <w:rsid w:val="004D5A11"/>
    <w:rsid w:val="004D618D"/>
    <w:rsid w:val="004D6250"/>
    <w:rsid w:val="004D655D"/>
    <w:rsid w:val="004E25A8"/>
    <w:rsid w:val="004E5F5C"/>
    <w:rsid w:val="004E6097"/>
    <w:rsid w:val="004E687A"/>
    <w:rsid w:val="004E6D9E"/>
    <w:rsid w:val="004E7B03"/>
    <w:rsid w:val="004F0446"/>
    <w:rsid w:val="004F06AC"/>
    <w:rsid w:val="004F2193"/>
    <w:rsid w:val="004F23AE"/>
    <w:rsid w:val="004F3879"/>
    <w:rsid w:val="004F47E9"/>
    <w:rsid w:val="004F52FA"/>
    <w:rsid w:val="004F53B2"/>
    <w:rsid w:val="004F6CA1"/>
    <w:rsid w:val="004F70FC"/>
    <w:rsid w:val="00500258"/>
    <w:rsid w:val="0050487A"/>
    <w:rsid w:val="0050766C"/>
    <w:rsid w:val="005128BE"/>
    <w:rsid w:val="00512D11"/>
    <w:rsid w:val="00513DC9"/>
    <w:rsid w:val="00513E7C"/>
    <w:rsid w:val="00514B04"/>
    <w:rsid w:val="0051608F"/>
    <w:rsid w:val="00524832"/>
    <w:rsid w:val="00524C5A"/>
    <w:rsid w:val="00526049"/>
    <w:rsid w:val="00526BC3"/>
    <w:rsid w:val="00526D89"/>
    <w:rsid w:val="005277FF"/>
    <w:rsid w:val="00527AE1"/>
    <w:rsid w:val="00530950"/>
    <w:rsid w:val="0053195D"/>
    <w:rsid w:val="00531E01"/>
    <w:rsid w:val="0053259B"/>
    <w:rsid w:val="00534BE3"/>
    <w:rsid w:val="00534D3F"/>
    <w:rsid w:val="00534FB8"/>
    <w:rsid w:val="00535291"/>
    <w:rsid w:val="0053798F"/>
    <w:rsid w:val="005403E1"/>
    <w:rsid w:val="00540631"/>
    <w:rsid w:val="00543A37"/>
    <w:rsid w:val="00543AF4"/>
    <w:rsid w:val="00543C6E"/>
    <w:rsid w:val="00544191"/>
    <w:rsid w:val="00544678"/>
    <w:rsid w:val="00544F39"/>
    <w:rsid w:val="005465D0"/>
    <w:rsid w:val="00547EFB"/>
    <w:rsid w:val="00550829"/>
    <w:rsid w:val="005531DF"/>
    <w:rsid w:val="00554151"/>
    <w:rsid w:val="00554F78"/>
    <w:rsid w:val="005556FD"/>
    <w:rsid w:val="00555834"/>
    <w:rsid w:val="005558BC"/>
    <w:rsid w:val="005566BC"/>
    <w:rsid w:val="0055679E"/>
    <w:rsid w:val="0055781F"/>
    <w:rsid w:val="0056186B"/>
    <w:rsid w:val="00561B7B"/>
    <w:rsid w:val="00563085"/>
    <w:rsid w:val="00565E69"/>
    <w:rsid w:val="005678DE"/>
    <w:rsid w:val="005702E4"/>
    <w:rsid w:val="00570986"/>
    <w:rsid w:val="0057145B"/>
    <w:rsid w:val="00571684"/>
    <w:rsid w:val="00572C50"/>
    <w:rsid w:val="00573733"/>
    <w:rsid w:val="00573EEF"/>
    <w:rsid w:val="00575A24"/>
    <w:rsid w:val="005779E4"/>
    <w:rsid w:val="005809E1"/>
    <w:rsid w:val="00581AD7"/>
    <w:rsid w:val="00582452"/>
    <w:rsid w:val="005836C7"/>
    <w:rsid w:val="00583B3B"/>
    <w:rsid w:val="00584E2C"/>
    <w:rsid w:val="00586C5C"/>
    <w:rsid w:val="00587C79"/>
    <w:rsid w:val="00590B77"/>
    <w:rsid w:val="005913A3"/>
    <w:rsid w:val="00591BEF"/>
    <w:rsid w:val="00592767"/>
    <w:rsid w:val="00593753"/>
    <w:rsid w:val="00593D5E"/>
    <w:rsid w:val="00595131"/>
    <w:rsid w:val="00595E24"/>
    <w:rsid w:val="005963DB"/>
    <w:rsid w:val="00596B03"/>
    <w:rsid w:val="00597E5B"/>
    <w:rsid w:val="00597ECA"/>
    <w:rsid w:val="005A1DEC"/>
    <w:rsid w:val="005A24F0"/>
    <w:rsid w:val="005A32F7"/>
    <w:rsid w:val="005A55BA"/>
    <w:rsid w:val="005A71E9"/>
    <w:rsid w:val="005A7328"/>
    <w:rsid w:val="005A7F37"/>
    <w:rsid w:val="005B07EC"/>
    <w:rsid w:val="005B0CF0"/>
    <w:rsid w:val="005B1C37"/>
    <w:rsid w:val="005B2A32"/>
    <w:rsid w:val="005B3341"/>
    <w:rsid w:val="005B34AA"/>
    <w:rsid w:val="005B35B0"/>
    <w:rsid w:val="005B5BEE"/>
    <w:rsid w:val="005B7552"/>
    <w:rsid w:val="005B77D2"/>
    <w:rsid w:val="005C0860"/>
    <w:rsid w:val="005C30F5"/>
    <w:rsid w:val="005C3779"/>
    <w:rsid w:val="005C6000"/>
    <w:rsid w:val="005C6B8B"/>
    <w:rsid w:val="005D02E3"/>
    <w:rsid w:val="005D05F5"/>
    <w:rsid w:val="005D107A"/>
    <w:rsid w:val="005D1A3D"/>
    <w:rsid w:val="005D1A53"/>
    <w:rsid w:val="005D1C87"/>
    <w:rsid w:val="005D1D98"/>
    <w:rsid w:val="005D39FD"/>
    <w:rsid w:val="005D3B54"/>
    <w:rsid w:val="005D57DA"/>
    <w:rsid w:val="005D6FA2"/>
    <w:rsid w:val="005D710D"/>
    <w:rsid w:val="005E2DAA"/>
    <w:rsid w:val="005E666A"/>
    <w:rsid w:val="005F002A"/>
    <w:rsid w:val="005F02F0"/>
    <w:rsid w:val="005F1516"/>
    <w:rsid w:val="005F229E"/>
    <w:rsid w:val="005F2D9A"/>
    <w:rsid w:val="005F3072"/>
    <w:rsid w:val="005F3D9D"/>
    <w:rsid w:val="005F4E52"/>
    <w:rsid w:val="005F5360"/>
    <w:rsid w:val="005F5889"/>
    <w:rsid w:val="005F61E5"/>
    <w:rsid w:val="005F6F0A"/>
    <w:rsid w:val="006000BE"/>
    <w:rsid w:val="0060058E"/>
    <w:rsid w:val="00602A3C"/>
    <w:rsid w:val="00602F1C"/>
    <w:rsid w:val="00604508"/>
    <w:rsid w:val="0060549F"/>
    <w:rsid w:val="0060750F"/>
    <w:rsid w:val="00607DE2"/>
    <w:rsid w:val="0061035A"/>
    <w:rsid w:val="0061110D"/>
    <w:rsid w:val="00611873"/>
    <w:rsid w:val="00613791"/>
    <w:rsid w:val="00614079"/>
    <w:rsid w:val="00615E13"/>
    <w:rsid w:val="00617BE1"/>
    <w:rsid w:val="00617EEE"/>
    <w:rsid w:val="00620352"/>
    <w:rsid w:val="0062055B"/>
    <w:rsid w:val="00621C0E"/>
    <w:rsid w:val="00623389"/>
    <w:rsid w:val="006247D0"/>
    <w:rsid w:val="0062615B"/>
    <w:rsid w:val="006268E4"/>
    <w:rsid w:val="006279FE"/>
    <w:rsid w:val="006330CA"/>
    <w:rsid w:val="0063413D"/>
    <w:rsid w:val="00634738"/>
    <w:rsid w:val="006363FA"/>
    <w:rsid w:val="00641AF8"/>
    <w:rsid w:val="00642A93"/>
    <w:rsid w:val="00642E16"/>
    <w:rsid w:val="00643664"/>
    <w:rsid w:val="00643CAA"/>
    <w:rsid w:val="00645EC9"/>
    <w:rsid w:val="00652C4C"/>
    <w:rsid w:val="00653CDE"/>
    <w:rsid w:val="0065407E"/>
    <w:rsid w:val="00660678"/>
    <w:rsid w:val="00661277"/>
    <w:rsid w:val="00661F62"/>
    <w:rsid w:val="006623D7"/>
    <w:rsid w:val="00663B40"/>
    <w:rsid w:val="00663FEA"/>
    <w:rsid w:val="00664803"/>
    <w:rsid w:val="00664E00"/>
    <w:rsid w:val="00665945"/>
    <w:rsid w:val="00665B3B"/>
    <w:rsid w:val="006663AC"/>
    <w:rsid w:val="00667BDE"/>
    <w:rsid w:val="00667EA7"/>
    <w:rsid w:val="00670F0F"/>
    <w:rsid w:val="00670F71"/>
    <w:rsid w:val="00673E94"/>
    <w:rsid w:val="00674B85"/>
    <w:rsid w:val="006751BA"/>
    <w:rsid w:val="006758A8"/>
    <w:rsid w:val="006772C9"/>
    <w:rsid w:val="00677641"/>
    <w:rsid w:val="006777FB"/>
    <w:rsid w:val="00677BF4"/>
    <w:rsid w:val="00682F28"/>
    <w:rsid w:val="0068336F"/>
    <w:rsid w:val="00683AD6"/>
    <w:rsid w:val="006847B1"/>
    <w:rsid w:val="00684BDF"/>
    <w:rsid w:val="00684DC5"/>
    <w:rsid w:val="006858F0"/>
    <w:rsid w:val="006879E5"/>
    <w:rsid w:val="00690437"/>
    <w:rsid w:val="00690E65"/>
    <w:rsid w:val="00692AAF"/>
    <w:rsid w:val="00693FB7"/>
    <w:rsid w:val="006946A7"/>
    <w:rsid w:val="00695421"/>
    <w:rsid w:val="00697DFA"/>
    <w:rsid w:val="006A0A00"/>
    <w:rsid w:val="006A6012"/>
    <w:rsid w:val="006A7210"/>
    <w:rsid w:val="006A7BE3"/>
    <w:rsid w:val="006B01D1"/>
    <w:rsid w:val="006B05E5"/>
    <w:rsid w:val="006B0AE2"/>
    <w:rsid w:val="006B0F39"/>
    <w:rsid w:val="006B15CC"/>
    <w:rsid w:val="006B18C3"/>
    <w:rsid w:val="006B1919"/>
    <w:rsid w:val="006B266D"/>
    <w:rsid w:val="006B2FD5"/>
    <w:rsid w:val="006B4589"/>
    <w:rsid w:val="006B48DE"/>
    <w:rsid w:val="006B4D33"/>
    <w:rsid w:val="006B5EFA"/>
    <w:rsid w:val="006B6269"/>
    <w:rsid w:val="006B6FEE"/>
    <w:rsid w:val="006B7ABB"/>
    <w:rsid w:val="006C4F0E"/>
    <w:rsid w:val="006C5379"/>
    <w:rsid w:val="006C5F01"/>
    <w:rsid w:val="006C7798"/>
    <w:rsid w:val="006C7B02"/>
    <w:rsid w:val="006D009D"/>
    <w:rsid w:val="006D0C1D"/>
    <w:rsid w:val="006D3D09"/>
    <w:rsid w:val="006D415B"/>
    <w:rsid w:val="006D5532"/>
    <w:rsid w:val="006D7C85"/>
    <w:rsid w:val="006E0976"/>
    <w:rsid w:val="006E231B"/>
    <w:rsid w:val="006E24E1"/>
    <w:rsid w:val="006E3DFD"/>
    <w:rsid w:val="006E5DD8"/>
    <w:rsid w:val="006E67AA"/>
    <w:rsid w:val="006E7AA8"/>
    <w:rsid w:val="006F00EF"/>
    <w:rsid w:val="006F0291"/>
    <w:rsid w:val="006F0D98"/>
    <w:rsid w:val="006F2F2A"/>
    <w:rsid w:val="006F3231"/>
    <w:rsid w:val="006F3D7D"/>
    <w:rsid w:val="006F3DE3"/>
    <w:rsid w:val="006F4BF8"/>
    <w:rsid w:val="006F547F"/>
    <w:rsid w:val="006F5A12"/>
    <w:rsid w:val="006F6567"/>
    <w:rsid w:val="006F6AD5"/>
    <w:rsid w:val="006F70BC"/>
    <w:rsid w:val="006F7E1F"/>
    <w:rsid w:val="006F7F32"/>
    <w:rsid w:val="00702389"/>
    <w:rsid w:val="00702530"/>
    <w:rsid w:val="0070296A"/>
    <w:rsid w:val="00702A3B"/>
    <w:rsid w:val="00702D72"/>
    <w:rsid w:val="0070490E"/>
    <w:rsid w:val="00704A47"/>
    <w:rsid w:val="00707A90"/>
    <w:rsid w:val="00707E95"/>
    <w:rsid w:val="00711DC8"/>
    <w:rsid w:val="00714576"/>
    <w:rsid w:val="00714F54"/>
    <w:rsid w:val="00715837"/>
    <w:rsid w:val="00721F0C"/>
    <w:rsid w:val="00721F4A"/>
    <w:rsid w:val="00722033"/>
    <w:rsid w:val="007229D4"/>
    <w:rsid w:val="00724044"/>
    <w:rsid w:val="007267FD"/>
    <w:rsid w:val="0072791A"/>
    <w:rsid w:val="007310B9"/>
    <w:rsid w:val="00731B09"/>
    <w:rsid w:val="007332B8"/>
    <w:rsid w:val="00733FDB"/>
    <w:rsid w:val="00734A30"/>
    <w:rsid w:val="007366F9"/>
    <w:rsid w:val="00743818"/>
    <w:rsid w:val="00743BA9"/>
    <w:rsid w:val="00744517"/>
    <w:rsid w:val="007450CE"/>
    <w:rsid w:val="007457E0"/>
    <w:rsid w:val="00746D71"/>
    <w:rsid w:val="007478C5"/>
    <w:rsid w:val="00747DE2"/>
    <w:rsid w:val="00751656"/>
    <w:rsid w:val="007526EC"/>
    <w:rsid w:val="00752B53"/>
    <w:rsid w:val="00753CEE"/>
    <w:rsid w:val="00753F15"/>
    <w:rsid w:val="00753F40"/>
    <w:rsid w:val="00754641"/>
    <w:rsid w:val="00755813"/>
    <w:rsid w:val="00756521"/>
    <w:rsid w:val="00756AB7"/>
    <w:rsid w:val="007572AB"/>
    <w:rsid w:val="0076155A"/>
    <w:rsid w:val="00762354"/>
    <w:rsid w:val="00763189"/>
    <w:rsid w:val="007632F4"/>
    <w:rsid w:val="007666AA"/>
    <w:rsid w:val="00766720"/>
    <w:rsid w:val="00766B4B"/>
    <w:rsid w:val="00767435"/>
    <w:rsid w:val="007674D1"/>
    <w:rsid w:val="00767509"/>
    <w:rsid w:val="00770471"/>
    <w:rsid w:val="007705C5"/>
    <w:rsid w:val="00772586"/>
    <w:rsid w:val="007725BD"/>
    <w:rsid w:val="007726A6"/>
    <w:rsid w:val="00773AA7"/>
    <w:rsid w:val="0077693F"/>
    <w:rsid w:val="007773E9"/>
    <w:rsid w:val="007804E1"/>
    <w:rsid w:val="0078051E"/>
    <w:rsid w:val="00784A24"/>
    <w:rsid w:val="007857E1"/>
    <w:rsid w:val="00794625"/>
    <w:rsid w:val="007966FC"/>
    <w:rsid w:val="00797046"/>
    <w:rsid w:val="007A01DC"/>
    <w:rsid w:val="007A0332"/>
    <w:rsid w:val="007A09B7"/>
    <w:rsid w:val="007A1029"/>
    <w:rsid w:val="007A1CE0"/>
    <w:rsid w:val="007A20D1"/>
    <w:rsid w:val="007A3ED8"/>
    <w:rsid w:val="007A4B79"/>
    <w:rsid w:val="007A5161"/>
    <w:rsid w:val="007A5526"/>
    <w:rsid w:val="007A7863"/>
    <w:rsid w:val="007A799E"/>
    <w:rsid w:val="007A7FFA"/>
    <w:rsid w:val="007B0297"/>
    <w:rsid w:val="007B1609"/>
    <w:rsid w:val="007B191B"/>
    <w:rsid w:val="007B1FBE"/>
    <w:rsid w:val="007B21AE"/>
    <w:rsid w:val="007B3A20"/>
    <w:rsid w:val="007B4C40"/>
    <w:rsid w:val="007B6D64"/>
    <w:rsid w:val="007B716A"/>
    <w:rsid w:val="007B7293"/>
    <w:rsid w:val="007C0525"/>
    <w:rsid w:val="007C07B4"/>
    <w:rsid w:val="007C22F7"/>
    <w:rsid w:val="007C37FC"/>
    <w:rsid w:val="007C5F21"/>
    <w:rsid w:val="007C6882"/>
    <w:rsid w:val="007C7FFA"/>
    <w:rsid w:val="007D0C40"/>
    <w:rsid w:val="007D240C"/>
    <w:rsid w:val="007D3A63"/>
    <w:rsid w:val="007D3B86"/>
    <w:rsid w:val="007D4848"/>
    <w:rsid w:val="007D5FDC"/>
    <w:rsid w:val="007E1824"/>
    <w:rsid w:val="007E4147"/>
    <w:rsid w:val="007E4A9C"/>
    <w:rsid w:val="007E7DF9"/>
    <w:rsid w:val="007F0730"/>
    <w:rsid w:val="007F1638"/>
    <w:rsid w:val="007F7E4C"/>
    <w:rsid w:val="0080015B"/>
    <w:rsid w:val="0080110C"/>
    <w:rsid w:val="008014FC"/>
    <w:rsid w:val="00801FE6"/>
    <w:rsid w:val="00803F25"/>
    <w:rsid w:val="008041E4"/>
    <w:rsid w:val="00804A94"/>
    <w:rsid w:val="008055A9"/>
    <w:rsid w:val="00810E8E"/>
    <w:rsid w:val="008124D0"/>
    <w:rsid w:val="00813F96"/>
    <w:rsid w:val="008148A2"/>
    <w:rsid w:val="00817B9C"/>
    <w:rsid w:val="008214AE"/>
    <w:rsid w:val="00821B22"/>
    <w:rsid w:val="00821CAD"/>
    <w:rsid w:val="00822771"/>
    <w:rsid w:val="00822C60"/>
    <w:rsid w:val="00826AB9"/>
    <w:rsid w:val="00827AE7"/>
    <w:rsid w:val="00827CA8"/>
    <w:rsid w:val="00827E0F"/>
    <w:rsid w:val="00830CF4"/>
    <w:rsid w:val="008325B9"/>
    <w:rsid w:val="0083279F"/>
    <w:rsid w:val="00833B7F"/>
    <w:rsid w:val="0083524E"/>
    <w:rsid w:val="00835292"/>
    <w:rsid w:val="00835BC6"/>
    <w:rsid w:val="008373AB"/>
    <w:rsid w:val="00841B45"/>
    <w:rsid w:val="008430C0"/>
    <w:rsid w:val="00843114"/>
    <w:rsid w:val="00843F81"/>
    <w:rsid w:val="00847F0B"/>
    <w:rsid w:val="008511E8"/>
    <w:rsid w:val="00852F21"/>
    <w:rsid w:val="00853BF4"/>
    <w:rsid w:val="008577FF"/>
    <w:rsid w:val="00857DE2"/>
    <w:rsid w:val="00860A1F"/>
    <w:rsid w:val="008614B2"/>
    <w:rsid w:val="0086465C"/>
    <w:rsid w:val="00864E79"/>
    <w:rsid w:val="008668AB"/>
    <w:rsid w:val="00866A0D"/>
    <w:rsid w:val="00870582"/>
    <w:rsid w:val="0087186D"/>
    <w:rsid w:val="00872A32"/>
    <w:rsid w:val="00872B79"/>
    <w:rsid w:val="008747F1"/>
    <w:rsid w:val="00875002"/>
    <w:rsid w:val="008754DF"/>
    <w:rsid w:val="00875FC8"/>
    <w:rsid w:val="0087694A"/>
    <w:rsid w:val="00876B58"/>
    <w:rsid w:val="00882B44"/>
    <w:rsid w:val="00883C8C"/>
    <w:rsid w:val="008841E3"/>
    <w:rsid w:val="00884344"/>
    <w:rsid w:val="008856F8"/>
    <w:rsid w:val="00886063"/>
    <w:rsid w:val="008871B0"/>
    <w:rsid w:val="00890316"/>
    <w:rsid w:val="0089253D"/>
    <w:rsid w:val="00892740"/>
    <w:rsid w:val="0089289F"/>
    <w:rsid w:val="00895D9A"/>
    <w:rsid w:val="00896351"/>
    <w:rsid w:val="008A0CB2"/>
    <w:rsid w:val="008A0FC9"/>
    <w:rsid w:val="008A234C"/>
    <w:rsid w:val="008A40D3"/>
    <w:rsid w:val="008A42EB"/>
    <w:rsid w:val="008A6BCC"/>
    <w:rsid w:val="008B09C4"/>
    <w:rsid w:val="008B173A"/>
    <w:rsid w:val="008B1E76"/>
    <w:rsid w:val="008B2E7C"/>
    <w:rsid w:val="008B784D"/>
    <w:rsid w:val="008B7FA7"/>
    <w:rsid w:val="008C13AA"/>
    <w:rsid w:val="008C1DA4"/>
    <w:rsid w:val="008C28CC"/>
    <w:rsid w:val="008C2CD5"/>
    <w:rsid w:val="008C3618"/>
    <w:rsid w:val="008C4771"/>
    <w:rsid w:val="008C54E1"/>
    <w:rsid w:val="008C731F"/>
    <w:rsid w:val="008D1C7F"/>
    <w:rsid w:val="008D1E23"/>
    <w:rsid w:val="008D309E"/>
    <w:rsid w:val="008D3902"/>
    <w:rsid w:val="008D5B9A"/>
    <w:rsid w:val="008D641D"/>
    <w:rsid w:val="008D7155"/>
    <w:rsid w:val="008D71B6"/>
    <w:rsid w:val="008E0FF9"/>
    <w:rsid w:val="008E3674"/>
    <w:rsid w:val="008E3825"/>
    <w:rsid w:val="008E3DC5"/>
    <w:rsid w:val="008E5D30"/>
    <w:rsid w:val="008E6687"/>
    <w:rsid w:val="008E6792"/>
    <w:rsid w:val="008E6856"/>
    <w:rsid w:val="008E6D1D"/>
    <w:rsid w:val="008E7245"/>
    <w:rsid w:val="008F177A"/>
    <w:rsid w:val="008F2FFA"/>
    <w:rsid w:val="008F5C6A"/>
    <w:rsid w:val="008F6532"/>
    <w:rsid w:val="008F69B8"/>
    <w:rsid w:val="008F7DFB"/>
    <w:rsid w:val="00900555"/>
    <w:rsid w:val="0090059A"/>
    <w:rsid w:val="00901192"/>
    <w:rsid w:val="009027F2"/>
    <w:rsid w:val="00902EE1"/>
    <w:rsid w:val="00905D7E"/>
    <w:rsid w:val="00906215"/>
    <w:rsid w:val="00906630"/>
    <w:rsid w:val="00906F6E"/>
    <w:rsid w:val="00910798"/>
    <w:rsid w:val="009134FC"/>
    <w:rsid w:val="0091405C"/>
    <w:rsid w:val="00914329"/>
    <w:rsid w:val="009156DA"/>
    <w:rsid w:val="00915EC2"/>
    <w:rsid w:val="00917412"/>
    <w:rsid w:val="00917F30"/>
    <w:rsid w:val="00920104"/>
    <w:rsid w:val="00920184"/>
    <w:rsid w:val="00920EA4"/>
    <w:rsid w:val="00921254"/>
    <w:rsid w:val="0092150B"/>
    <w:rsid w:val="009216F9"/>
    <w:rsid w:val="00922303"/>
    <w:rsid w:val="00926500"/>
    <w:rsid w:val="009266EA"/>
    <w:rsid w:val="00926ABC"/>
    <w:rsid w:val="00927B37"/>
    <w:rsid w:val="0093160E"/>
    <w:rsid w:val="00932156"/>
    <w:rsid w:val="009336B2"/>
    <w:rsid w:val="00933981"/>
    <w:rsid w:val="00934DD7"/>
    <w:rsid w:val="00937853"/>
    <w:rsid w:val="00937FC3"/>
    <w:rsid w:val="00941396"/>
    <w:rsid w:val="00941448"/>
    <w:rsid w:val="00941723"/>
    <w:rsid w:val="00942306"/>
    <w:rsid w:val="00942A33"/>
    <w:rsid w:val="00943FFC"/>
    <w:rsid w:val="00945225"/>
    <w:rsid w:val="009454F3"/>
    <w:rsid w:val="009458B0"/>
    <w:rsid w:val="00947424"/>
    <w:rsid w:val="009478A2"/>
    <w:rsid w:val="009503A9"/>
    <w:rsid w:val="00950884"/>
    <w:rsid w:val="009508A2"/>
    <w:rsid w:val="0095197E"/>
    <w:rsid w:val="00951DBF"/>
    <w:rsid w:val="00952507"/>
    <w:rsid w:val="00953078"/>
    <w:rsid w:val="00953276"/>
    <w:rsid w:val="00953508"/>
    <w:rsid w:val="00955FBB"/>
    <w:rsid w:val="00956585"/>
    <w:rsid w:val="00956A66"/>
    <w:rsid w:val="00956BD5"/>
    <w:rsid w:val="009577B5"/>
    <w:rsid w:val="009616E7"/>
    <w:rsid w:val="0096269B"/>
    <w:rsid w:val="00965664"/>
    <w:rsid w:val="00965816"/>
    <w:rsid w:val="00966253"/>
    <w:rsid w:val="00966522"/>
    <w:rsid w:val="00967329"/>
    <w:rsid w:val="009676C1"/>
    <w:rsid w:val="00970FFF"/>
    <w:rsid w:val="00971C95"/>
    <w:rsid w:val="00971CF1"/>
    <w:rsid w:val="0097286F"/>
    <w:rsid w:val="00976805"/>
    <w:rsid w:val="0097723F"/>
    <w:rsid w:val="00980777"/>
    <w:rsid w:val="009819B7"/>
    <w:rsid w:val="00982F8E"/>
    <w:rsid w:val="00983E22"/>
    <w:rsid w:val="0098534E"/>
    <w:rsid w:val="009859DD"/>
    <w:rsid w:val="00985C3D"/>
    <w:rsid w:val="009864E0"/>
    <w:rsid w:val="00990225"/>
    <w:rsid w:val="00992EB6"/>
    <w:rsid w:val="009934DA"/>
    <w:rsid w:val="00995D67"/>
    <w:rsid w:val="009A0482"/>
    <w:rsid w:val="009A303A"/>
    <w:rsid w:val="009A453B"/>
    <w:rsid w:val="009A6316"/>
    <w:rsid w:val="009A6559"/>
    <w:rsid w:val="009A6C49"/>
    <w:rsid w:val="009B1C2B"/>
    <w:rsid w:val="009B20F5"/>
    <w:rsid w:val="009B21F6"/>
    <w:rsid w:val="009B2F9B"/>
    <w:rsid w:val="009B3647"/>
    <w:rsid w:val="009B4A6C"/>
    <w:rsid w:val="009B5801"/>
    <w:rsid w:val="009B731D"/>
    <w:rsid w:val="009C01A4"/>
    <w:rsid w:val="009C1A29"/>
    <w:rsid w:val="009C34D1"/>
    <w:rsid w:val="009C360E"/>
    <w:rsid w:val="009C36FF"/>
    <w:rsid w:val="009C6322"/>
    <w:rsid w:val="009C64A2"/>
    <w:rsid w:val="009C6CE5"/>
    <w:rsid w:val="009C6D50"/>
    <w:rsid w:val="009C7244"/>
    <w:rsid w:val="009C7321"/>
    <w:rsid w:val="009D0935"/>
    <w:rsid w:val="009D1878"/>
    <w:rsid w:val="009D1B1D"/>
    <w:rsid w:val="009D2F60"/>
    <w:rsid w:val="009D526D"/>
    <w:rsid w:val="009D6DD9"/>
    <w:rsid w:val="009D7321"/>
    <w:rsid w:val="009D77B3"/>
    <w:rsid w:val="009E0C5F"/>
    <w:rsid w:val="009E24FE"/>
    <w:rsid w:val="009E4070"/>
    <w:rsid w:val="009E444E"/>
    <w:rsid w:val="009E4857"/>
    <w:rsid w:val="009E6480"/>
    <w:rsid w:val="009E693D"/>
    <w:rsid w:val="009E7554"/>
    <w:rsid w:val="009F1A79"/>
    <w:rsid w:val="009F252C"/>
    <w:rsid w:val="009F3160"/>
    <w:rsid w:val="009F42FB"/>
    <w:rsid w:val="009F49DC"/>
    <w:rsid w:val="009F4C84"/>
    <w:rsid w:val="009F5C8C"/>
    <w:rsid w:val="009F65F4"/>
    <w:rsid w:val="009F676B"/>
    <w:rsid w:val="009F69AF"/>
    <w:rsid w:val="009F7A77"/>
    <w:rsid w:val="00A00C70"/>
    <w:rsid w:val="00A0146E"/>
    <w:rsid w:val="00A01B03"/>
    <w:rsid w:val="00A01B5D"/>
    <w:rsid w:val="00A02169"/>
    <w:rsid w:val="00A02C66"/>
    <w:rsid w:val="00A0464C"/>
    <w:rsid w:val="00A046FE"/>
    <w:rsid w:val="00A04E0A"/>
    <w:rsid w:val="00A05464"/>
    <w:rsid w:val="00A054E0"/>
    <w:rsid w:val="00A06D10"/>
    <w:rsid w:val="00A11042"/>
    <w:rsid w:val="00A116F8"/>
    <w:rsid w:val="00A11C37"/>
    <w:rsid w:val="00A132F6"/>
    <w:rsid w:val="00A133D8"/>
    <w:rsid w:val="00A155EB"/>
    <w:rsid w:val="00A15DE9"/>
    <w:rsid w:val="00A168A2"/>
    <w:rsid w:val="00A17226"/>
    <w:rsid w:val="00A17BA5"/>
    <w:rsid w:val="00A20672"/>
    <w:rsid w:val="00A245BF"/>
    <w:rsid w:val="00A24FEA"/>
    <w:rsid w:val="00A25A00"/>
    <w:rsid w:val="00A269F6"/>
    <w:rsid w:val="00A30B84"/>
    <w:rsid w:val="00A3467F"/>
    <w:rsid w:val="00A34CA0"/>
    <w:rsid w:val="00A35262"/>
    <w:rsid w:val="00A3532F"/>
    <w:rsid w:val="00A36F93"/>
    <w:rsid w:val="00A37F8E"/>
    <w:rsid w:val="00A4177F"/>
    <w:rsid w:val="00A43237"/>
    <w:rsid w:val="00A45455"/>
    <w:rsid w:val="00A45CAB"/>
    <w:rsid w:val="00A4706F"/>
    <w:rsid w:val="00A47ECC"/>
    <w:rsid w:val="00A47FD7"/>
    <w:rsid w:val="00A50171"/>
    <w:rsid w:val="00A5102E"/>
    <w:rsid w:val="00A51E08"/>
    <w:rsid w:val="00A52282"/>
    <w:rsid w:val="00A5334E"/>
    <w:rsid w:val="00A552BC"/>
    <w:rsid w:val="00A563A2"/>
    <w:rsid w:val="00A563F6"/>
    <w:rsid w:val="00A575B8"/>
    <w:rsid w:val="00A6032D"/>
    <w:rsid w:val="00A61753"/>
    <w:rsid w:val="00A6206B"/>
    <w:rsid w:val="00A62774"/>
    <w:rsid w:val="00A642E5"/>
    <w:rsid w:val="00A6451C"/>
    <w:rsid w:val="00A647B1"/>
    <w:rsid w:val="00A6499A"/>
    <w:rsid w:val="00A6606B"/>
    <w:rsid w:val="00A676E7"/>
    <w:rsid w:val="00A67B72"/>
    <w:rsid w:val="00A70216"/>
    <w:rsid w:val="00A71B35"/>
    <w:rsid w:val="00A72BC3"/>
    <w:rsid w:val="00A736F5"/>
    <w:rsid w:val="00A739A6"/>
    <w:rsid w:val="00A75FE0"/>
    <w:rsid w:val="00A7665D"/>
    <w:rsid w:val="00A76A2D"/>
    <w:rsid w:val="00A76EE4"/>
    <w:rsid w:val="00A82F56"/>
    <w:rsid w:val="00A82FE9"/>
    <w:rsid w:val="00A83AFC"/>
    <w:rsid w:val="00A86B91"/>
    <w:rsid w:val="00A90F5E"/>
    <w:rsid w:val="00A92155"/>
    <w:rsid w:val="00A9246D"/>
    <w:rsid w:val="00A97821"/>
    <w:rsid w:val="00AA02B2"/>
    <w:rsid w:val="00AA2B5C"/>
    <w:rsid w:val="00AA2F64"/>
    <w:rsid w:val="00AA313A"/>
    <w:rsid w:val="00AA577F"/>
    <w:rsid w:val="00AA6328"/>
    <w:rsid w:val="00AB03FD"/>
    <w:rsid w:val="00AB1042"/>
    <w:rsid w:val="00AB1246"/>
    <w:rsid w:val="00AB1375"/>
    <w:rsid w:val="00AB270B"/>
    <w:rsid w:val="00AB38CB"/>
    <w:rsid w:val="00AB524D"/>
    <w:rsid w:val="00AB577E"/>
    <w:rsid w:val="00AB67EB"/>
    <w:rsid w:val="00AB6EE0"/>
    <w:rsid w:val="00AB726F"/>
    <w:rsid w:val="00AC0213"/>
    <w:rsid w:val="00AC2884"/>
    <w:rsid w:val="00AC4725"/>
    <w:rsid w:val="00AC6052"/>
    <w:rsid w:val="00AC6060"/>
    <w:rsid w:val="00AC79A6"/>
    <w:rsid w:val="00AC7C7D"/>
    <w:rsid w:val="00AD4467"/>
    <w:rsid w:val="00AD5996"/>
    <w:rsid w:val="00AD5E0C"/>
    <w:rsid w:val="00AD5E70"/>
    <w:rsid w:val="00AD6206"/>
    <w:rsid w:val="00AD6372"/>
    <w:rsid w:val="00AD777D"/>
    <w:rsid w:val="00AE06B4"/>
    <w:rsid w:val="00AE0D67"/>
    <w:rsid w:val="00AE123A"/>
    <w:rsid w:val="00AE17E5"/>
    <w:rsid w:val="00AE2583"/>
    <w:rsid w:val="00AE2BBF"/>
    <w:rsid w:val="00AE33A6"/>
    <w:rsid w:val="00AE3B97"/>
    <w:rsid w:val="00AE71DF"/>
    <w:rsid w:val="00AF1132"/>
    <w:rsid w:val="00AF1962"/>
    <w:rsid w:val="00AF2241"/>
    <w:rsid w:val="00AF3ADA"/>
    <w:rsid w:val="00AF45DB"/>
    <w:rsid w:val="00AF59DA"/>
    <w:rsid w:val="00AF7163"/>
    <w:rsid w:val="00AF78B9"/>
    <w:rsid w:val="00AF7941"/>
    <w:rsid w:val="00B00021"/>
    <w:rsid w:val="00B012FD"/>
    <w:rsid w:val="00B02365"/>
    <w:rsid w:val="00B02C1E"/>
    <w:rsid w:val="00B02F60"/>
    <w:rsid w:val="00B037A4"/>
    <w:rsid w:val="00B0440E"/>
    <w:rsid w:val="00B0561D"/>
    <w:rsid w:val="00B05BE8"/>
    <w:rsid w:val="00B05DAB"/>
    <w:rsid w:val="00B05F86"/>
    <w:rsid w:val="00B07367"/>
    <w:rsid w:val="00B073FE"/>
    <w:rsid w:val="00B10050"/>
    <w:rsid w:val="00B10F5A"/>
    <w:rsid w:val="00B11418"/>
    <w:rsid w:val="00B115E6"/>
    <w:rsid w:val="00B129EA"/>
    <w:rsid w:val="00B1364A"/>
    <w:rsid w:val="00B148C0"/>
    <w:rsid w:val="00B14B75"/>
    <w:rsid w:val="00B15F2B"/>
    <w:rsid w:val="00B17220"/>
    <w:rsid w:val="00B20BA1"/>
    <w:rsid w:val="00B20F18"/>
    <w:rsid w:val="00B21849"/>
    <w:rsid w:val="00B220B7"/>
    <w:rsid w:val="00B23239"/>
    <w:rsid w:val="00B23738"/>
    <w:rsid w:val="00B25EE6"/>
    <w:rsid w:val="00B32301"/>
    <w:rsid w:val="00B32BED"/>
    <w:rsid w:val="00B33375"/>
    <w:rsid w:val="00B34566"/>
    <w:rsid w:val="00B34BFA"/>
    <w:rsid w:val="00B354E9"/>
    <w:rsid w:val="00B42CFF"/>
    <w:rsid w:val="00B43D45"/>
    <w:rsid w:val="00B44779"/>
    <w:rsid w:val="00B44B64"/>
    <w:rsid w:val="00B501FE"/>
    <w:rsid w:val="00B50234"/>
    <w:rsid w:val="00B504F7"/>
    <w:rsid w:val="00B50CA4"/>
    <w:rsid w:val="00B51D56"/>
    <w:rsid w:val="00B52C68"/>
    <w:rsid w:val="00B561DB"/>
    <w:rsid w:val="00B56F25"/>
    <w:rsid w:val="00B571DD"/>
    <w:rsid w:val="00B61BD8"/>
    <w:rsid w:val="00B61E67"/>
    <w:rsid w:val="00B64518"/>
    <w:rsid w:val="00B65D0F"/>
    <w:rsid w:val="00B66FE5"/>
    <w:rsid w:val="00B70AE9"/>
    <w:rsid w:val="00B71051"/>
    <w:rsid w:val="00B718EB"/>
    <w:rsid w:val="00B72454"/>
    <w:rsid w:val="00B73BA1"/>
    <w:rsid w:val="00B7562B"/>
    <w:rsid w:val="00B767C3"/>
    <w:rsid w:val="00B76D1D"/>
    <w:rsid w:val="00B7768F"/>
    <w:rsid w:val="00B80270"/>
    <w:rsid w:val="00B837C5"/>
    <w:rsid w:val="00B858A0"/>
    <w:rsid w:val="00B85A85"/>
    <w:rsid w:val="00B913E4"/>
    <w:rsid w:val="00B934C6"/>
    <w:rsid w:val="00B95143"/>
    <w:rsid w:val="00BA1440"/>
    <w:rsid w:val="00BA21C8"/>
    <w:rsid w:val="00BA4524"/>
    <w:rsid w:val="00BA478B"/>
    <w:rsid w:val="00BA51E2"/>
    <w:rsid w:val="00BB0B03"/>
    <w:rsid w:val="00BB1E2B"/>
    <w:rsid w:val="00BB26D0"/>
    <w:rsid w:val="00BB41E5"/>
    <w:rsid w:val="00BB4B75"/>
    <w:rsid w:val="00BB6EFC"/>
    <w:rsid w:val="00BB7058"/>
    <w:rsid w:val="00BB7742"/>
    <w:rsid w:val="00BC08C9"/>
    <w:rsid w:val="00BC516E"/>
    <w:rsid w:val="00BC6E73"/>
    <w:rsid w:val="00BD086E"/>
    <w:rsid w:val="00BD413F"/>
    <w:rsid w:val="00BD5134"/>
    <w:rsid w:val="00BD6EF9"/>
    <w:rsid w:val="00BD7785"/>
    <w:rsid w:val="00BD7B85"/>
    <w:rsid w:val="00BE1CD8"/>
    <w:rsid w:val="00BE2457"/>
    <w:rsid w:val="00BE2912"/>
    <w:rsid w:val="00BE4B51"/>
    <w:rsid w:val="00BE51CA"/>
    <w:rsid w:val="00BE79A5"/>
    <w:rsid w:val="00BE7E34"/>
    <w:rsid w:val="00BE7E42"/>
    <w:rsid w:val="00BF0806"/>
    <w:rsid w:val="00BF0AC2"/>
    <w:rsid w:val="00BF1945"/>
    <w:rsid w:val="00BF278E"/>
    <w:rsid w:val="00BF33B3"/>
    <w:rsid w:val="00BF3538"/>
    <w:rsid w:val="00BF36F6"/>
    <w:rsid w:val="00BF3EE5"/>
    <w:rsid w:val="00BF4342"/>
    <w:rsid w:val="00BF4F21"/>
    <w:rsid w:val="00BF5DEF"/>
    <w:rsid w:val="00BF5E1F"/>
    <w:rsid w:val="00BF6DB4"/>
    <w:rsid w:val="00BF746D"/>
    <w:rsid w:val="00C003F9"/>
    <w:rsid w:val="00C011B8"/>
    <w:rsid w:val="00C012F6"/>
    <w:rsid w:val="00C017FE"/>
    <w:rsid w:val="00C03581"/>
    <w:rsid w:val="00C04898"/>
    <w:rsid w:val="00C04AAA"/>
    <w:rsid w:val="00C058AF"/>
    <w:rsid w:val="00C062E6"/>
    <w:rsid w:val="00C11C07"/>
    <w:rsid w:val="00C126BE"/>
    <w:rsid w:val="00C128AE"/>
    <w:rsid w:val="00C13739"/>
    <w:rsid w:val="00C1373D"/>
    <w:rsid w:val="00C141FE"/>
    <w:rsid w:val="00C144D9"/>
    <w:rsid w:val="00C14915"/>
    <w:rsid w:val="00C1656E"/>
    <w:rsid w:val="00C20F27"/>
    <w:rsid w:val="00C22B0D"/>
    <w:rsid w:val="00C22E35"/>
    <w:rsid w:val="00C2518C"/>
    <w:rsid w:val="00C260A4"/>
    <w:rsid w:val="00C269D2"/>
    <w:rsid w:val="00C26CE9"/>
    <w:rsid w:val="00C26F08"/>
    <w:rsid w:val="00C310A4"/>
    <w:rsid w:val="00C31382"/>
    <w:rsid w:val="00C330B8"/>
    <w:rsid w:val="00C35B31"/>
    <w:rsid w:val="00C360B3"/>
    <w:rsid w:val="00C36AD3"/>
    <w:rsid w:val="00C37027"/>
    <w:rsid w:val="00C40D83"/>
    <w:rsid w:val="00C40F25"/>
    <w:rsid w:val="00C43670"/>
    <w:rsid w:val="00C4414B"/>
    <w:rsid w:val="00C46217"/>
    <w:rsid w:val="00C4698D"/>
    <w:rsid w:val="00C46A94"/>
    <w:rsid w:val="00C51178"/>
    <w:rsid w:val="00C52479"/>
    <w:rsid w:val="00C52C59"/>
    <w:rsid w:val="00C5383F"/>
    <w:rsid w:val="00C540B7"/>
    <w:rsid w:val="00C54D3D"/>
    <w:rsid w:val="00C55690"/>
    <w:rsid w:val="00C60381"/>
    <w:rsid w:val="00C61CFF"/>
    <w:rsid w:val="00C642D3"/>
    <w:rsid w:val="00C64338"/>
    <w:rsid w:val="00C6490C"/>
    <w:rsid w:val="00C64FE7"/>
    <w:rsid w:val="00C71433"/>
    <w:rsid w:val="00C73100"/>
    <w:rsid w:val="00C74ADB"/>
    <w:rsid w:val="00C75B5B"/>
    <w:rsid w:val="00C8063F"/>
    <w:rsid w:val="00C828DB"/>
    <w:rsid w:val="00C82A71"/>
    <w:rsid w:val="00C82EA6"/>
    <w:rsid w:val="00C87879"/>
    <w:rsid w:val="00C87CFD"/>
    <w:rsid w:val="00C975C2"/>
    <w:rsid w:val="00CA05D3"/>
    <w:rsid w:val="00CA25C0"/>
    <w:rsid w:val="00CA28B6"/>
    <w:rsid w:val="00CA3524"/>
    <w:rsid w:val="00CA4948"/>
    <w:rsid w:val="00CA4F8D"/>
    <w:rsid w:val="00CA513D"/>
    <w:rsid w:val="00CA6441"/>
    <w:rsid w:val="00CA7853"/>
    <w:rsid w:val="00CA7891"/>
    <w:rsid w:val="00CB0A9D"/>
    <w:rsid w:val="00CB304C"/>
    <w:rsid w:val="00CB376E"/>
    <w:rsid w:val="00CB43C1"/>
    <w:rsid w:val="00CB4F92"/>
    <w:rsid w:val="00CB5A28"/>
    <w:rsid w:val="00CB5CB2"/>
    <w:rsid w:val="00CB784E"/>
    <w:rsid w:val="00CC004A"/>
    <w:rsid w:val="00CC0AF7"/>
    <w:rsid w:val="00CC1A6F"/>
    <w:rsid w:val="00CC1BA0"/>
    <w:rsid w:val="00CC348F"/>
    <w:rsid w:val="00CC3F91"/>
    <w:rsid w:val="00CC438F"/>
    <w:rsid w:val="00CC4A76"/>
    <w:rsid w:val="00CC544A"/>
    <w:rsid w:val="00CC57EA"/>
    <w:rsid w:val="00CC6097"/>
    <w:rsid w:val="00CC6992"/>
    <w:rsid w:val="00CC6A0C"/>
    <w:rsid w:val="00CC7466"/>
    <w:rsid w:val="00CD05A0"/>
    <w:rsid w:val="00CD1826"/>
    <w:rsid w:val="00CD33CB"/>
    <w:rsid w:val="00CD437E"/>
    <w:rsid w:val="00CD47EB"/>
    <w:rsid w:val="00CD4989"/>
    <w:rsid w:val="00CD54B4"/>
    <w:rsid w:val="00CD55A6"/>
    <w:rsid w:val="00CD590C"/>
    <w:rsid w:val="00CD5DAD"/>
    <w:rsid w:val="00CD6386"/>
    <w:rsid w:val="00CD770E"/>
    <w:rsid w:val="00CD7CE2"/>
    <w:rsid w:val="00CE0789"/>
    <w:rsid w:val="00CE1A03"/>
    <w:rsid w:val="00CE2FBC"/>
    <w:rsid w:val="00CE34DF"/>
    <w:rsid w:val="00CE353B"/>
    <w:rsid w:val="00CE3962"/>
    <w:rsid w:val="00CE56BD"/>
    <w:rsid w:val="00CE6089"/>
    <w:rsid w:val="00CE68EF"/>
    <w:rsid w:val="00CF1D6D"/>
    <w:rsid w:val="00CF2482"/>
    <w:rsid w:val="00CF2BE2"/>
    <w:rsid w:val="00CF2C0E"/>
    <w:rsid w:val="00CF2DCC"/>
    <w:rsid w:val="00CF3119"/>
    <w:rsid w:val="00CF531D"/>
    <w:rsid w:val="00CF5BCD"/>
    <w:rsid w:val="00CF6144"/>
    <w:rsid w:val="00CF7E54"/>
    <w:rsid w:val="00D00204"/>
    <w:rsid w:val="00D006A7"/>
    <w:rsid w:val="00D00FD7"/>
    <w:rsid w:val="00D01C39"/>
    <w:rsid w:val="00D01CF9"/>
    <w:rsid w:val="00D02DDB"/>
    <w:rsid w:val="00D02F9F"/>
    <w:rsid w:val="00D03194"/>
    <w:rsid w:val="00D03234"/>
    <w:rsid w:val="00D0334D"/>
    <w:rsid w:val="00D0358B"/>
    <w:rsid w:val="00D037D6"/>
    <w:rsid w:val="00D0503C"/>
    <w:rsid w:val="00D05839"/>
    <w:rsid w:val="00D05AE2"/>
    <w:rsid w:val="00D06542"/>
    <w:rsid w:val="00D06C72"/>
    <w:rsid w:val="00D117C1"/>
    <w:rsid w:val="00D12587"/>
    <w:rsid w:val="00D13B06"/>
    <w:rsid w:val="00D156C9"/>
    <w:rsid w:val="00D15921"/>
    <w:rsid w:val="00D15FAA"/>
    <w:rsid w:val="00D17019"/>
    <w:rsid w:val="00D172F3"/>
    <w:rsid w:val="00D1780A"/>
    <w:rsid w:val="00D17ACE"/>
    <w:rsid w:val="00D200BA"/>
    <w:rsid w:val="00D202D8"/>
    <w:rsid w:val="00D20D54"/>
    <w:rsid w:val="00D21168"/>
    <w:rsid w:val="00D219C8"/>
    <w:rsid w:val="00D22DF2"/>
    <w:rsid w:val="00D2410C"/>
    <w:rsid w:val="00D2438C"/>
    <w:rsid w:val="00D26033"/>
    <w:rsid w:val="00D26CED"/>
    <w:rsid w:val="00D26F9F"/>
    <w:rsid w:val="00D27185"/>
    <w:rsid w:val="00D304AF"/>
    <w:rsid w:val="00D336C3"/>
    <w:rsid w:val="00D33767"/>
    <w:rsid w:val="00D33AB3"/>
    <w:rsid w:val="00D33B7A"/>
    <w:rsid w:val="00D35AE2"/>
    <w:rsid w:val="00D371E5"/>
    <w:rsid w:val="00D4023D"/>
    <w:rsid w:val="00D4072D"/>
    <w:rsid w:val="00D40748"/>
    <w:rsid w:val="00D42ED9"/>
    <w:rsid w:val="00D435F0"/>
    <w:rsid w:val="00D44613"/>
    <w:rsid w:val="00D468B8"/>
    <w:rsid w:val="00D471AF"/>
    <w:rsid w:val="00D50519"/>
    <w:rsid w:val="00D51CF6"/>
    <w:rsid w:val="00D52541"/>
    <w:rsid w:val="00D55951"/>
    <w:rsid w:val="00D55A17"/>
    <w:rsid w:val="00D56796"/>
    <w:rsid w:val="00D56824"/>
    <w:rsid w:val="00D602E7"/>
    <w:rsid w:val="00D640F6"/>
    <w:rsid w:val="00D645A3"/>
    <w:rsid w:val="00D66D8B"/>
    <w:rsid w:val="00D675ED"/>
    <w:rsid w:val="00D679B0"/>
    <w:rsid w:val="00D73C2C"/>
    <w:rsid w:val="00D74175"/>
    <w:rsid w:val="00D76308"/>
    <w:rsid w:val="00D76575"/>
    <w:rsid w:val="00D768CE"/>
    <w:rsid w:val="00D778FE"/>
    <w:rsid w:val="00D809CC"/>
    <w:rsid w:val="00D80DF3"/>
    <w:rsid w:val="00D8259F"/>
    <w:rsid w:val="00D844B3"/>
    <w:rsid w:val="00D84663"/>
    <w:rsid w:val="00D84F27"/>
    <w:rsid w:val="00D8564E"/>
    <w:rsid w:val="00D85910"/>
    <w:rsid w:val="00D85FA1"/>
    <w:rsid w:val="00D86496"/>
    <w:rsid w:val="00D86B4C"/>
    <w:rsid w:val="00D86D48"/>
    <w:rsid w:val="00D86FB2"/>
    <w:rsid w:val="00D87652"/>
    <w:rsid w:val="00D903FC"/>
    <w:rsid w:val="00D91A4A"/>
    <w:rsid w:val="00D91E17"/>
    <w:rsid w:val="00D92976"/>
    <w:rsid w:val="00D92BC7"/>
    <w:rsid w:val="00D946A9"/>
    <w:rsid w:val="00D97A45"/>
    <w:rsid w:val="00D97F4E"/>
    <w:rsid w:val="00DA151D"/>
    <w:rsid w:val="00DA153A"/>
    <w:rsid w:val="00DA240D"/>
    <w:rsid w:val="00DA4DD7"/>
    <w:rsid w:val="00DA5F71"/>
    <w:rsid w:val="00DA625B"/>
    <w:rsid w:val="00DB011E"/>
    <w:rsid w:val="00DB2FA5"/>
    <w:rsid w:val="00DB4224"/>
    <w:rsid w:val="00DB661F"/>
    <w:rsid w:val="00DB6C27"/>
    <w:rsid w:val="00DB6DA3"/>
    <w:rsid w:val="00DC0BB7"/>
    <w:rsid w:val="00DC4447"/>
    <w:rsid w:val="00DC67B1"/>
    <w:rsid w:val="00DC6EBB"/>
    <w:rsid w:val="00DC7FDF"/>
    <w:rsid w:val="00DD1A40"/>
    <w:rsid w:val="00DD276E"/>
    <w:rsid w:val="00DD58BE"/>
    <w:rsid w:val="00DD6AEA"/>
    <w:rsid w:val="00DE1BF5"/>
    <w:rsid w:val="00DF0403"/>
    <w:rsid w:val="00DF0EC1"/>
    <w:rsid w:val="00DF1299"/>
    <w:rsid w:val="00DF1758"/>
    <w:rsid w:val="00DF1ADD"/>
    <w:rsid w:val="00DF22C1"/>
    <w:rsid w:val="00DF23A8"/>
    <w:rsid w:val="00DF343D"/>
    <w:rsid w:val="00DF5696"/>
    <w:rsid w:val="00DF6CCC"/>
    <w:rsid w:val="00DF6F64"/>
    <w:rsid w:val="00DF721E"/>
    <w:rsid w:val="00DF7B22"/>
    <w:rsid w:val="00DF7E84"/>
    <w:rsid w:val="00E02E63"/>
    <w:rsid w:val="00E03628"/>
    <w:rsid w:val="00E0366A"/>
    <w:rsid w:val="00E0493E"/>
    <w:rsid w:val="00E04A10"/>
    <w:rsid w:val="00E05388"/>
    <w:rsid w:val="00E0570B"/>
    <w:rsid w:val="00E0635B"/>
    <w:rsid w:val="00E07669"/>
    <w:rsid w:val="00E10AC3"/>
    <w:rsid w:val="00E10C2A"/>
    <w:rsid w:val="00E10DBA"/>
    <w:rsid w:val="00E12731"/>
    <w:rsid w:val="00E15912"/>
    <w:rsid w:val="00E159AA"/>
    <w:rsid w:val="00E214D7"/>
    <w:rsid w:val="00E219CE"/>
    <w:rsid w:val="00E2273F"/>
    <w:rsid w:val="00E22D8F"/>
    <w:rsid w:val="00E239F4"/>
    <w:rsid w:val="00E2454B"/>
    <w:rsid w:val="00E2495C"/>
    <w:rsid w:val="00E24CC4"/>
    <w:rsid w:val="00E24EBC"/>
    <w:rsid w:val="00E2522C"/>
    <w:rsid w:val="00E2584E"/>
    <w:rsid w:val="00E26194"/>
    <w:rsid w:val="00E279C7"/>
    <w:rsid w:val="00E27C5F"/>
    <w:rsid w:val="00E27CB7"/>
    <w:rsid w:val="00E30519"/>
    <w:rsid w:val="00E32F09"/>
    <w:rsid w:val="00E349E9"/>
    <w:rsid w:val="00E403B7"/>
    <w:rsid w:val="00E40D0B"/>
    <w:rsid w:val="00E41D36"/>
    <w:rsid w:val="00E422BE"/>
    <w:rsid w:val="00E425E0"/>
    <w:rsid w:val="00E43AE5"/>
    <w:rsid w:val="00E43B24"/>
    <w:rsid w:val="00E44C65"/>
    <w:rsid w:val="00E47BFC"/>
    <w:rsid w:val="00E47EC7"/>
    <w:rsid w:val="00E51B8B"/>
    <w:rsid w:val="00E52EB9"/>
    <w:rsid w:val="00E53730"/>
    <w:rsid w:val="00E54511"/>
    <w:rsid w:val="00E5476D"/>
    <w:rsid w:val="00E57577"/>
    <w:rsid w:val="00E6131A"/>
    <w:rsid w:val="00E67E96"/>
    <w:rsid w:val="00E727A8"/>
    <w:rsid w:val="00E72830"/>
    <w:rsid w:val="00E72D94"/>
    <w:rsid w:val="00E741A3"/>
    <w:rsid w:val="00E745C3"/>
    <w:rsid w:val="00E749E8"/>
    <w:rsid w:val="00E75EF0"/>
    <w:rsid w:val="00E7713B"/>
    <w:rsid w:val="00E80AE4"/>
    <w:rsid w:val="00E80B71"/>
    <w:rsid w:val="00E8251E"/>
    <w:rsid w:val="00E8291B"/>
    <w:rsid w:val="00E82CDE"/>
    <w:rsid w:val="00E8419F"/>
    <w:rsid w:val="00E84B86"/>
    <w:rsid w:val="00E85454"/>
    <w:rsid w:val="00E855F7"/>
    <w:rsid w:val="00E86CCF"/>
    <w:rsid w:val="00E871A3"/>
    <w:rsid w:val="00E8789F"/>
    <w:rsid w:val="00E91044"/>
    <w:rsid w:val="00E910D3"/>
    <w:rsid w:val="00E91575"/>
    <w:rsid w:val="00E9269E"/>
    <w:rsid w:val="00E93CB2"/>
    <w:rsid w:val="00E96851"/>
    <w:rsid w:val="00E96AAE"/>
    <w:rsid w:val="00EB05D0"/>
    <w:rsid w:val="00EB1D49"/>
    <w:rsid w:val="00EB1DE6"/>
    <w:rsid w:val="00EB1E93"/>
    <w:rsid w:val="00EB204B"/>
    <w:rsid w:val="00EB3609"/>
    <w:rsid w:val="00EB5DCC"/>
    <w:rsid w:val="00EB61D8"/>
    <w:rsid w:val="00EB7B78"/>
    <w:rsid w:val="00EC15B9"/>
    <w:rsid w:val="00EC1B78"/>
    <w:rsid w:val="00EC2584"/>
    <w:rsid w:val="00EC2A2B"/>
    <w:rsid w:val="00EC2C01"/>
    <w:rsid w:val="00EC3570"/>
    <w:rsid w:val="00EC69D9"/>
    <w:rsid w:val="00EC7024"/>
    <w:rsid w:val="00EC716B"/>
    <w:rsid w:val="00EC7730"/>
    <w:rsid w:val="00ED0046"/>
    <w:rsid w:val="00ED127E"/>
    <w:rsid w:val="00ED144D"/>
    <w:rsid w:val="00ED287C"/>
    <w:rsid w:val="00ED3525"/>
    <w:rsid w:val="00ED6C2B"/>
    <w:rsid w:val="00ED7B00"/>
    <w:rsid w:val="00EE0F3D"/>
    <w:rsid w:val="00EE1C92"/>
    <w:rsid w:val="00EE375E"/>
    <w:rsid w:val="00EE3B50"/>
    <w:rsid w:val="00EE56F0"/>
    <w:rsid w:val="00EE7814"/>
    <w:rsid w:val="00EF2109"/>
    <w:rsid w:val="00EF269A"/>
    <w:rsid w:val="00EF2BC3"/>
    <w:rsid w:val="00EF4AF6"/>
    <w:rsid w:val="00EF5554"/>
    <w:rsid w:val="00EF588F"/>
    <w:rsid w:val="00EF5CB6"/>
    <w:rsid w:val="00EF6FB8"/>
    <w:rsid w:val="00F0041A"/>
    <w:rsid w:val="00F006C0"/>
    <w:rsid w:val="00F00923"/>
    <w:rsid w:val="00F02686"/>
    <w:rsid w:val="00F02EC0"/>
    <w:rsid w:val="00F04E15"/>
    <w:rsid w:val="00F069EA"/>
    <w:rsid w:val="00F11DDC"/>
    <w:rsid w:val="00F11EAA"/>
    <w:rsid w:val="00F11F4A"/>
    <w:rsid w:val="00F11FB1"/>
    <w:rsid w:val="00F127D4"/>
    <w:rsid w:val="00F12B24"/>
    <w:rsid w:val="00F14747"/>
    <w:rsid w:val="00F1487F"/>
    <w:rsid w:val="00F14A63"/>
    <w:rsid w:val="00F16055"/>
    <w:rsid w:val="00F164B2"/>
    <w:rsid w:val="00F210EE"/>
    <w:rsid w:val="00F2184F"/>
    <w:rsid w:val="00F22756"/>
    <w:rsid w:val="00F22C25"/>
    <w:rsid w:val="00F236ED"/>
    <w:rsid w:val="00F24F54"/>
    <w:rsid w:val="00F259C2"/>
    <w:rsid w:val="00F2637F"/>
    <w:rsid w:val="00F26B5D"/>
    <w:rsid w:val="00F27282"/>
    <w:rsid w:val="00F30CF8"/>
    <w:rsid w:val="00F310EA"/>
    <w:rsid w:val="00F3129A"/>
    <w:rsid w:val="00F32D4C"/>
    <w:rsid w:val="00F34B14"/>
    <w:rsid w:val="00F34E3F"/>
    <w:rsid w:val="00F360A0"/>
    <w:rsid w:val="00F37616"/>
    <w:rsid w:val="00F4008D"/>
    <w:rsid w:val="00F40101"/>
    <w:rsid w:val="00F4020E"/>
    <w:rsid w:val="00F4146A"/>
    <w:rsid w:val="00F41F21"/>
    <w:rsid w:val="00F43017"/>
    <w:rsid w:val="00F44C3B"/>
    <w:rsid w:val="00F46723"/>
    <w:rsid w:val="00F469B3"/>
    <w:rsid w:val="00F46B91"/>
    <w:rsid w:val="00F4743E"/>
    <w:rsid w:val="00F50016"/>
    <w:rsid w:val="00F50D15"/>
    <w:rsid w:val="00F50D96"/>
    <w:rsid w:val="00F5175C"/>
    <w:rsid w:val="00F52963"/>
    <w:rsid w:val="00F53BC8"/>
    <w:rsid w:val="00F53E28"/>
    <w:rsid w:val="00F53E66"/>
    <w:rsid w:val="00F543D4"/>
    <w:rsid w:val="00F546DD"/>
    <w:rsid w:val="00F55732"/>
    <w:rsid w:val="00F60265"/>
    <w:rsid w:val="00F60D2F"/>
    <w:rsid w:val="00F6232F"/>
    <w:rsid w:val="00F64FA2"/>
    <w:rsid w:val="00F6520F"/>
    <w:rsid w:val="00F66309"/>
    <w:rsid w:val="00F70571"/>
    <w:rsid w:val="00F70799"/>
    <w:rsid w:val="00F71AF3"/>
    <w:rsid w:val="00F724FB"/>
    <w:rsid w:val="00F725D1"/>
    <w:rsid w:val="00F742BF"/>
    <w:rsid w:val="00F756DD"/>
    <w:rsid w:val="00F76063"/>
    <w:rsid w:val="00F82178"/>
    <w:rsid w:val="00F862F7"/>
    <w:rsid w:val="00F868E9"/>
    <w:rsid w:val="00F90DFE"/>
    <w:rsid w:val="00F91906"/>
    <w:rsid w:val="00F94AF5"/>
    <w:rsid w:val="00F961D9"/>
    <w:rsid w:val="00F972DA"/>
    <w:rsid w:val="00FA0043"/>
    <w:rsid w:val="00FA2924"/>
    <w:rsid w:val="00FA2D48"/>
    <w:rsid w:val="00FA472D"/>
    <w:rsid w:val="00FA4C72"/>
    <w:rsid w:val="00FA4F3D"/>
    <w:rsid w:val="00FA5E5E"/>
    <w:rsid w:val="00FA6462"/>
    <w:rsid w:val="00FA68F4"/>
    <w:rsid w:val="00FB00FF"/>
    <w:rsid w:val="00FB035E"/>
    <w:rsid w:val="00FB0602"/>
    <w:rsid w:val="00FB1717"/>
    <w:rsid w:val="00FB46B3"/>
    <w:rsid w:val="00FB58B9"/>
    <w:rsid w:val="00FC06E2"/>
    <w:rsid w:val="00FC1953"/>
    <w:rsid w:val="00FC205A"/>
    <w:rsid w:val="00FC2708"/>
    <w:rsid w:val="00FC3291"/>
    <w:rsid w:val="00FC485A"/>
    <w:rsid w:val="00FC4979"/>
    <w:rsid w:val="00FC5EA6"/>
    <w:rsid w:val="00FC720E"/>
    <w:rsid w:val="00FC79BC"/>
    <w:rsid w:val="00FC7AE7"/>
    <w:rsid w:val="00FD01BF"/>
    <w:rsid w:val="00FD39C6"/>
    <w:rsid w:val="00FD764D"/>
    <w:rsid w:val="00FD7681"/>
    <w:rsid w:val="00FE3301"/>
    <w:rsid w:val="00FE741D"/>
    <w:rsid w:val="00FF124E"/>
    <w:rsid w:val="00FF1C9B"/>
    <w:rsid w:val="00FF21C9"/>
    <w:rsid w:val="00FF23F1"/>
    <w:rsid w:val="00FF36AE"/>
    <w:rsid w:val="00FF4767"/>
    <w:rsid w:val="00FF48D1"/>
    <w:rsid w:val="00FF57E4"/>
    <w:rsid w:val="048674D4"/>
    <w:rsid w:val="06604967"/>
    <w:rsid w:val="06FB0E1D"/>
    <w:rsid w:val="0EBD512F"/>
    <w:rsid w:val="0F4D436E"/>
    <w:rsid w:val="102E7A99"/>
    <w:rsid w:val="11A1796B"/>
    <w:rsid w:val="181954A4"/>
    <w:rsid w:val="1A88241F"/>
    <w:rsid w:val="1E1B4130"/>
    <w:rsid w:val="225B1BA8"/>
    <w:rsid w:val="236607C5"/>
    <w:rsid w:val="252C73F6"/>
    <w:rsid w:val="26541F05"/>
    <w:rsid w:val="26BB17DD"/>
    <w:rsid w:val="28A9214D"/>
    <w:rsid w:val="2F95143C"/>
    <w:rsid w:val="2FAA1C44"/>
    <w:rsid w:val="2FAE0810"/>
    <w:rsid w:val="31B04ED0"/>
    <w:rsid w:val="33091ABF"/>
    <w:rsid w:val="33C25A52"/>
    <w:rsid w:val="34736F27"/>
    <w:rsid w:val="379F30FB"/>
    <w:rsid w:val="38E23927"/>
    <w:rsid w:val="3B0770D0"/>
    <w:rsid w:val="404658BE"/>
    <w:rsid w:val="42D02840"/>
    <w:rsid w:val="44B03ED1"/>
    <w:rsid w:val="454019AA"/>
    <w:rsid w:val="45FC38C0"/>
    <w:rsid w:val="474D7348"/>
    <w:rsid w:val="486C4649"/>
    <w:rsid w:val="4C073D5F"/>
    <w:rsid w:val="4E833491"/>
    <w:rsid w:val="4F0A3A0B"/>
    <w:rsid w:val="4FDC37C4"/>
    <w:rsid w:val="50044E02"/>
    <w:rsid w:val="50BD0D54"/>
    <w:rsid w:val="5164644D"/>
    <w:rsid w:val="51996BEC"/>
    <w:rsid w:val="51F852E6"/>
    <w:rsid w:val="52895604"/>
    <w:rsid w:val="553D5F1F"/>
    <w:rsid w:val="56AB5417"/>
    <w:rsid w:val="58B44C9A"/>
    <w:rsid w:val="58E70C93"/>
    <w:rsid w:val="5D0C48A5"/>
    <w:rsid w:val="5DB810A6"/>
    <w:rsid w:val="5E08332C"/>
    <w:rsid w:val="5EFF280F"/>
    <w:rsid w:val="5F24547E"/>
    <w:rsid w:val="5F2E2C6D"/>
    <w:rsid w:val="61F53088"/>
    <w:rsid w:val="63795149"/>
    <w:rsid w:val="644D2525"/>
    <w:rsid w:val="686A0777"/>
    <w:rsid w:val="69A505D7"/>
    <w:rsid w:val="6A267E1A"/>
    <w:rsid w:val="6DF607C7"/>
    <w:rsid w:val="6F780C7C"/>
    <w:rsid w:val="70165E6F"/>
    <w:rsid w:val="71297F0A"/>
    <w:rsid w:val="715E6234"/>
    <w:rsid w:val="7320231C"/>
    <w:rsid w:val="75A6206C"/>
    <w:rsid w:val="76023487"/>
    <w:rsid w:val="7795666D"/>
    <w:rsid w:val="7C2C7704"/>
    <w:rsid w:val="7C836F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iPriority="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58"/>
    <w:qFormat/>
    <w:uiPriority w:val="0"/>
    <w:pPr>
      <w:keepNext/>
      <w:keepLines/>
      <w:spacing w:before="260" w:after="260" w:line="416" w:lineRule="auto"/>
      <w:outlineLvl w:val="2"/>
    </w:pPr>
    <w:rPr>
      <w:b/>
      <w:bCs/>
      <w:sz w:val="32"/>
      <w:szCs w:val="32"/>
    </w:rPr>
  </w:style>
  <w:style w:type="paragraph" w:styleId="5">
    <w:name w:val="heading 4"/>
    <w:basedOn w:val="1"/>
    <w:next w:val="1"/>
    <w:link w:val="5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61"/>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2"/>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3"/>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5"/>
    <w:qFormat/>
    <w:uiPriority w:val="0"/>
    <w:pPr>
      <w:keepNext/>
      <w:keepLines/>
      <w:numPr>
        <w:ilvl w:val="8"/>
        <w:numId w:val="1"/>
      </w:numPr>
      <w:spacing w:before="240" w:after="64" w:line="320" w:lineRule="auto"/>
      <w:outlineLvl w:val="8"/>
    </w:pPr>
    <w:rPr>
      <w:rFonts w:ascii="Arial" w:hAnsi="Arial" w:eastAsia="黑体"/>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qFormat/>
    <w:uiPriority w:val="0"/>
    <w:pPr>
      <w:ind w:firstLine="420"/>
    </w:pPr>
    <w:rPr>
      <w:rFonts w:ascii="Calibri" w:hAnsi="Calibri"/>
      <w:szCs w:val="20"/>
    </w:rPr>
  </w:style>
  <w:style w:type="paragraph" w:styleId="12">
    <w:name w:val="List 3"/>
    <w:basedOn w:val="1"/>
    <w:qFormat/>
    <w:uiPriority w:val="0"/>
    <w:pPr>
      <w:ind w:left="100" w:leftChars="400" w:hanging="200" w:hangingChars="200"/>
    </w:p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semiHidden/>
    <w:qFormat/>
    <w:uiPriority w:val="0"/>
    <w:pPr>
      <w:shd w:val="clear" w:color="auto" w:fill="000080"/>
    </w:pPr>
  </w:style>
  <w:style w:type="paragraph" w:styleId="17">
    <w:name w:val="annotation text"/>
    <w:basedOn w:val="1"/>
    <w:link w:val="70"/>
    <w:qFormat/>
    <w:uiPriority w:val="0"/>
    <w:pPr>
      <w:jc w:val="left"/>
    </w:pPr>
  </w:style>
  <w:style w:type="paragraph" w:styleId="18">
    <w:name w:val="Body Text 3"/>
    <w:basedOn w:val="1"/>
    <w:link w:val="77"/>
    <w:qFormat/>
    <w:uiPriority w:val="0"/>
    <w:pPr>
      <w:spacing w:line="500" w:lineRule="exact"/>
    </w:pPr>
    <w:rPr>
      <w:b/>
      <w:bCs/>
      <w:sz w:val="24"/>
    </w:rPr>
  </w:style>
  <w:style w:type="paragraph" w:styleId="19">
    <w:name w:val="Body Text"/>
    <w:basedOn w:val="1"/>
    <w:link w:val="71"/>
    <w:unhideWhenUsed/>
    <w:qFormat/>
    <w:uiPriority w:val="99"/>
    <w:pPr>
      <w:spacing w:after="120"/>
    </w:pPr>
  </w:style>
  <w:style w:type="paragraph" w:styleId="20">
    <w:name w:val="Body Text Indent"/>
    <w:basedOn w:val="1"/>
    <w:link w:val="69"/>
    <w:qFormat/>
    <w:uiPriority w:val="0"/>
    <w:pPr>
      <w:ind w:firstLine="830" w:firstLineChars="352"/>
    </w:pPr>
    <w:rPr>
      <w:rFonts w:ascii="仿宋_GB2312" w:eastAsia="仿宋_GB2312"/>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0"/>
    <w:pPr>
      <w:ind w:left="1680" w:leftChars="800"/>
    </w:pPr>
    <w:rPr>
      <w:rFonts w:ascii="Calibri" w:hAnsi="Calibri"/>
      <w:szCs w:val="22"/>
    </w:rPr>
  </w:style>
  <w:style w:type="paragraph" w:styleId="24">
    <w:name w:val="toc 3"/>
    <w:basedOn w:val="1"/>
    <w:next w:val="1"/>
    <w:unhideWhenUsed/>
    <w:qFormat/>
    <w:uiPriority w:val="0"/>
    <w:pPr>
      <w:ind w:left="840" w:leftChars="400"/>
    </w:pPr>
    <w:rPr>
      <w:rFonts w:ascii="Calibri" w:hAnsi="Calibri"/>
      <w:szCs w:val="22"/>
    </w:rPr>
  </w:style>
  <w:style w:type="paragraph" w:styleId="25">
    <w:name w:val="Plain Text"/>
    <w:basedOn w:val="1"/>
    <w:link w:val="68"/>
    <w:qFormat/>
    <w:uiPriority w:val="0"/>
    <w:rPr>
      <w:rFonts w:ascii="宋体" w:hAnsi="Courier New" w:cs="Courier New"/>
      <w:szCs w:val="21"/>
    </w:rPr>
  </w:style>
  <w:style w:type="paragraph" w:styleId="26">
    <w:name w:val="toc 8"/>
    <w:basedOn w:val="1"/>
    <w:next w:val="1"/>
    <w:unhideWhenUsed/>
    <w:qFormat/>
    <w:uiPriority w:val="0"/>
    <w:pPr>
      <w:ind w:left="2940" w:leftChars="1400"/>
    </w:pPr>
    <w:rPr>
      <w:rFonts w:ascii="Calibri" w:hAnsi="Calibri"/>
      <w:szCs w:val="22"/>
    </w:rPr>
  </w:style>
  <w:style w:type="paragraph" w:styleId="27">
    <w:name w:val="Date"/>
    <w:basedOn w:val="1"/>
    <w:next w:val="1"/>
    <w:link w:val="72"/>
    <w:semiHidden/>
    <w:unhideWhenUsed/>
    <w:qFormat/>
    <w:uiPriority w:val="99"/>
    <w:pPr>
      <w:ind w:left="100" w:leftChars="2500"/>
    </w:pPr>
  </w:style>
  <w:style w:type="paragraph" w:styleId="28">
    <w:name w:val="Body Text Indent 2"/>
    <w:basedOn w:val="1"/>
    <w:link w:val="75"/>
    <w:qFormat/>
    <w:uiPriority w:val="0"/>
    <w:pPr>
      <w:ind w:firstLine="630"/>
    </w:pPr>
    <w:rPr>
      <w:sz w:val="32"/>
      <w:szCs w:val="20"/>
    </w:rPr>
  </w:style>
  <w:style w:type="paragraph" w:styleId="29">
    <w:name w:val="endnote text"/>
    <w:basedOn w:val="1"/>
    <w:semiHidden/>
    <w:unhideWhenUsed/>
    <w:qFormat/>
    <w:uiPriority w:val="0"/>
    <w:pPr>
      <w:snapToGrid w:val="0"/>
      <w:jc w:val="left"/>
    </w:pPr>
  </w:style>
  <w:style w:type="paragraph" w:styleId="30">
    <w:name w:val="Balloon Text"/>
    <w:basedOn w:val="1"/>
    <w:semiHidden/>
    <w:qFormat/>
    <w:uiPriority w:val="0"/>
    <w:rPr>
      <w:sz w:val="18"/>
      <w:szCs w:val="18"/>
    </w:rPr>
  </w:style>
  <w:style w:type="paragraph" w:styleId="31">
    <w:name w:val="footer"/>
    <w:basedOn w:val="1"/>
    <w:link w:val="67"/>
    <w:unhideWhenUsed/>
    <w:qFormat/>
    <w:uiPriority w:val="99"/>
    <w:pPr>
      <w:tabs>
        <w:tab w:val="center" w:pos="4153"/>
        <w:tab w:val="right" w:pos="8306"/>
      </w:tabs>
      <w:snapToGrid w:val="0"/>
      <w:jc w:val="left"/>
    </w:pPr>
    <w:rPr>
      <w:sz w:val="18"/>
      <w:szCs w:val="18"/>
    </w:rPr>
  </w:style>
  <w:style w:type="paragraph" w:styleId="32">
    <w:name w:val="header"/>
    <w:basedOn w:val="1"/>
    <w:link w:val="66"/>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unhideWhenUsed/>
    <w:qFormat/>
    <w:uiPriority w:val="39"/>
  </w:style>
  <w:style w:type="paragraph" w:styleId="34">
    <w:name w:val="toc 4"/>
    <w:basedOn w:val="1"/>
    <w:next w:val="1"/>
    <w:unhideWhenUsed/>
    <w:qFormat/>
    <w:uiPriority w:val="0"/>
    <w:pPr>
      <w:ind w:left="1260" w:leftChars="600"/>
    </w:pPr>
    <w:rPr>
      <w:rFonts w:ascii="Calibri" w:hAnsi="Calibri"/>
      <w:szCs w:val="22"/>
    </w:rPr>
  </w:style>
  <w:style w:type="paragraph" w:styleId="35">
    <w:name w:val="index heading"/>
    <w:basedOn w:val="1"/>
    <w:next w:val="36"/>
    <w:semiHidden/>
    <w:qFormat/>
    <w:uiPriority w:val="0"/>
    <w:rPr>
      <w:szCs w:val="20"/>
    </w:rPr>
  </w:style>
  <w:style w:type="paragraph" w:styleId="36">
    <w:name w:val="index 1"/>
    <w:basedOn w:val="1"/>
    <w:next w:val="1"/>
    <w:semiHidden/>
    <w:qFormat/>
    <w:uiPriority w:val="0"/>
    <w:pPr>
      <w:spacing w:line="400" w:lineRule="exact"/>
      <w:ind w:firstLine="420" w:firstLineChars="200"/>
    </w:pPr>
    <w:rPr>
      <w:rFonts w:ascii="宋体" w:hAnsi="Courier New"/>
      <w:b/>
      <w:szCs w:val="20"/>
    </w:rPr>
  </w:style>
  <w:style w:type="paragraph" w:styleId="37">
    <w:name w:val="List"/>
    <w:basedOn w:val="1"/>
    <w:qFormat/>
    <w:uiPriority w:val="0"/>
    <w:pPr>
      <w:ind w:left="200" w:hanging="200" w:hangingChars="200"/>
    </w:pPr>
    <w:rPr>
      <w:sz w:val="28"/>
    </w:rPr>
  </w:style>
  <w:style w:type="paragraph" w:styleId="38">
    <w:name w:val="footnote text"/>
    <w:basedOn w:val="1"/>
    <w:semiHidden/>
    <w:unhideWhenUsed/>
    <w:qFormat/>
    <w:uiPriority w:val="0"/>
    <w:pPr>
      <w:snapToGrid w:val="0"/>
      <w:jc w:val="left"/>
    </w:pPr>
    <w:rPr>
      <w:sz w:val="18"/>
      <w:szCs w:val="18"/>
    </w:rPr>
  </w:style>
  <w:style w:type="paragraph" w:styleId="39">
    <w:name w:val="toc 6"/>
    <w:basedOn w:val="1"/>
    <w:next w:val="1"/>
    <w:unhideWhenUsed/>
    <w:qFormat/>
    <w:uiPriority w:val="0"/>
    <w:pPr>
      <w:ind w:left="2100" w:leftChars="1000"/>
    </w:pPr>
    <w:rPr>
      <w:rFonts w:ascii="Calibri" w:hAnsi="Calibri"/>
      <w:szCs w:val="22"/>
    </w:rPr>
  </w:style>
  <w:style w:type="paragraph" w:styleId="40">
    <w:name w:val="Body Text Indent 3"/>
    <w:basedOn w:val="1"/>
    <w:link w:val="74"/>
    <w:qFormat/>
    <w:uiPriority w:val="0"/>
    <w:pPr>
      <w:spacing w:after="120"/>
      <w:ind w:left="420" w:leftChars="200"/>
    </w:pPr>
    <w:rPr>
      <w:sz w:val="16"/>
      <w:szCs w:val="16"/>
    </w:rPr>
  </w:style>
  <w:style w:type="paragraph" w:styleId="41">
    <w:name w:val="toc 2"/>
    <w:basedOn w:val="1"/>
    <w:next w:val="1"/>
    <w:unhideWhenUsed/>
    <w:qFormat/>
    <w:uiPriority w:val="39"/>
    <w:pPr>
      <w:ind w:left="420" w:leftChars="200"/>
    </w:pPr>
  </w:style>
  <w:style w:type="paragraph" w:styleId="42">
    <w:name w:val="toc 9"/>
    <w:basedOn w:val="1"/>
    <w:next w:val="1"/>
    <w:unhideWhenUsed/>
    <w:qFormat/>
    <w:uiPriority w:val="0"/>
    <w:pPr>
      <w:ind w:left="3360" w:leftChars="1600"/>
    </w:pPr>
    <w:rPr>
      <w:rFonts w:ascii="Calibri" w:hAnsi="Calibri"/>
      <w:szCs w:val="22"/>
    </w:rPr>
  </w:style>
  <w:style w:type="paragraph" w:styleId="43">
    <w:name w:val="Body Text 2"/>
    <w:basedOn w:val="1"/>
    <w:link w:val="76"/>
    <w:qFormat/>
    <w:uiPriority w:val="0"/>
    <w:pPr>
      <w:spacing w:after="120" w:line="480" w:lineRule="auto"/>
    </w:pPr>
  </w:style>
  <w:style w:type="paragraph" w:styleId="4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5">
    <w:name w:val="Normal (Web)"/>
    <w:basedOn w:val="1"/>
    <w:qFormat/>
    <w:uiPriority w:val="0"/>
    <w:pPr>
      <w:widowControl/>
      <w:spacing w:before="100" w:beforeAutospacing="1" w:after="100" w:afterAutospacing="1"/>
      <w:jc w:val="left"/>
    </w:pPr>
    <w:rPr>
      <w:rFonts w:ascii="宋体" w:hAnsi="宋体"/>
      <w:kern w:val="0"/>
      <w:sz w:val="24"/>
    </w:rPr>
  </w:style>
  <w:style w:type="paragraph" w:styleId="46">
    <w:name w:val="Title"/>
    <w:basedOn w:val="1"/>
    <w:next w:val="1"/>
    <w:qFormat/>
    <w:uiPriority w:val="0"/>
    <w:pPr>
      <w:spacing w:before="240" w:after="60"/>
      <w:jc w:val="center"/>
      <w:outlineLvl w:val="0"/>
    </w:pPr>
    <w:rPr>
      <w:rFonts w:ascii="Cambria" w:hAnsi="Cambria"/>
      <w:b/>
      <w:bCs/>
      <w:sz w:val="32"/>
      <w:szCs w:val="32"/>
    </w:rPr>
  </w:style>
  <w:style w:type="paragraph" w:styleId="47">
    <w:name w:val="annotation subject"/>
    <w:basedOn w:val="17"/>
    <w:next w:val="17"/>
    <w:semiHidden/>
    <w:qFormat/>
    <w:uiPriority w:val="0"/>
    <w:rPr>
      <w:b/>
      <w:bCs/>
    </w:rPr>
  </w:style>
  <w:style w:type="paragraph" w:styleId="48">
    <w:name w:val="Body Text First Indent"/>
    <w:basedOn w:val="19"/>
    <w:link w:val="94"/>
    <w:qFormat/>
    <w:uiPriority w:val="0"/>
    <w:pPr>
      <w:ind w:firstLine="420" w:firstLineChars="100"/>
    </w:pPr>
    <w:rPr>
      <w:rFonts w:ascii="宋体" w:hAnsi="Courier New"/>
      <w:kern w:val="0"/>
      <w:sz w:val="20"/>
      <w:szCs w:val="21"/>
    </w:rPr>
  </w:style>
  <w:style w:type="table" w:styleId="50">
    <w:name w:val="Table Grid"/>
    <w:basedOn w:val="4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2">
    <w:name w:val="Strong"/>
    <w:qFormat/>
    <w:uiPriority w:val="0"/>
    <w:rPr>
      <w:rFonts w:ascii="Tahoma" w:hAnsi="Tahoma" w:eastAsia="宋体"/>
      <w:b/>
      <w:bCs/>
      <w:spacing w:val="10"/>
      <w:kern w:val="2"/>
      <w:sz w:val="24"/>
      <w:szCs w:val="24"/>
      <w:lang w:val="en-US" w:eastAsia="zh-CN" w:bidi="ar-SA"/>
    </w:rPr>
  </w:style>
  <w:style w:type="character" w:styleId="53">
    <w:name w:val="page number"/>
    <w:basedOn w:val="51"/>
    <w:qFormat/>
    <w:uiPriority w:val="0"/>
  </w:style>
  <w:style w:type="character" w:styleId="54">
    <w:name w:val="Hyperlink"/>
    <w:unhideWhenUsed/>
    <w:qFormat/>
    <w:uiPriority w:val="99"/>
    <w:rPr>
      <w:color w:val="0000FF"/>
      <w:u w:val="single"/>
    </w:rPr>
  </w:style>
  <w:style w:type="character" w:styleId="55">
    <w:name w:val="annotation reference"/>
    <w:qFormat/>
    <w:uiPriority w:val="0"/>
    <w:rPr>
      <w:sz w:val="21"/>
      <w:szCs w:val="21"/>
    </w:rPr>
  </w:style>
  <w:style w:type="character" w:customStyle="1" w:styleId="56">
    <w:name w:val="标题 1 Char"/>
    <w:link w:val="2"/>
    <w:qFormat/>
    <w:uiPriority w:val="0"/>
    <w:rPr>
      <w:rFonts w:eastAsia="宋体"/>
      <w:b/>
      <w:bCs/>
      <w:kern w:val="44"/>
      <w:sz w:val="44"/>
      <w:szCs w:val="44"/>
      <w:lang w:val="en-US" w:eastAsia="zh-CN" w:bidi="ar-SA"/>
    </w:rPr>
  </w:style>
  <w:style w:type="character" w:customStyle="1" w:styleId="57">
    <w:name w:val="标题 2 Char1"/>
    <w:link w:val="3"/>
    <w:qFormat/>
    <w:uiPriority w:val="9"/>
    <w:rPr>
      <w:rFonts w:ascii="Cambria" w:hAnsi="Cambria" w:eastAsia="宋体" w:cs="Times New Roman"/>
      <w:b/>
      <w:bCs/>
      <w:kern w:val="2"/>
      <w:sz w:val="32"/>
      <w:szCs w:val="32"/>
    </w:rPr>
  </w:style>
  <w:style w:type="character" w:customStyle="1" w:styleId="58">
    <w:name w:val="标题 3 Char"/>
    <w:link w:val="4"/>
    <w:qFormat/>
    <w:uiPriority w:val="0"/>
    <w:rPr>
      <w:rFonts w:eastAsia="宋体"/>
      <w:b/>
      <w:bCs/>
      <w:kern w:val="2"/>
      <w:sz w:val="32"/>
      <w:szCs w:val="32"/>
      <w:lang w:val="en-US" w:eastAsia="zh-CN" w:bidi="ar-SA"/>
    </w:rPr>
  </w:style>
  <w:style w:type="character" w:customStyle="1" w:styleId="59">
    <w:name w:val="标题 4 Char"/>
    <w:link w:val="5"/>
    <w:qFormat/>
    <w:uiPriority w:val="0"/>
    <w:rPr>
      <w:rFonts w:ascii="Arial" w:hAnsi="Arial" w:eastAsia="黑体"/>
      <w:b/>
      <w:bCs/>
      <w:kern w:val="2"/>
      <w:sz w:val="28"/>
      <w:szCs w:val="28"/>
      <w:lang w:val="en-US" w:eastAsia="zh-CN" w:bidi="ar-SA"/>
    </w:rPr>
  </w:style>
  <w:style w:type="character" w:customStyle="1" w:styleId="60">
    <w:name w:val="正文缩进 Char"/>
    <w:link w:val="7"/>
    <w:qFormat/>
    <w:uiPriority w:val="0"/>
    <w:rPr>
      <w:rFonts w:eastAsia="宋体"/>
      <w:kern w:val="2"/>
      <w:sz w:val="21"/>
      <w:lang w:val="en-US" w:eastAsia="zh-CN" w:bidi="ar-SA"/>
    </w:rPr>
  </w:style>
  <w:style w:type="character" w:customStyle="1" w:styleId="61">
    <w:name w:val="标题 5 Char"/>
    <w:link w:val="6"/>
    <w:qFormat/>
    <w:uiPriority w:val="0"/>
    <w:rPr>
      <w:rFonts w:eastAsia="宋体"/>
      <w:b/>
      <w:kern w:val="2"/>
      <w:sz w:val="28"/>
      <w:szCs w:val="24"/>
      <w:lang w:val="en-US" w:eastAsia="zh-CN" w:bidi="ar-SA"/>
    </w:rPr>
  </w:style>
  <w:style w:type="character" w:customStyle="1" w:styleId="62">
    <w:name w:val="标题 6 Char"/>
    <w:link w:val="8"/>
    <w:qFormat/>
    <w:uiPriority w:val="0"/>
    <w:rPr>
      <w:rFonts w:ascii="Arial" w:hAnsi="Arial" w:eastAsia="黑体"/>
      <w:b/>
      <w:kern w:val="2"/>
      <w:sz w:val="24"/>
      <w:szCs w:val="24"/>
      <w:lang w:val="en-US" w:eastAsia="zh-CN" w:bidi="ar-SA"/>
    </w:rPr>
  </w:style>
  <w:style w:type="character" w:customStyle="1" w:styleId="63">
    <w:name w:val="标题 7 Char"/>
    <w:link w:val="9"/>
    <w:qFormat/>
    <w:uiPriority w:val="0"/>
    <w:rPr>
      <w:rFonts w:eastAsia="宋体"/>
      <w:b/>
      <w:kern w:val="2"/>
      <w:sz w:val="24"/>
      <w:szCs w:val="24"/>
      <w:lang w:val="en-US" w:eastAsia="zh-CN" w:bidi="ar-SA"/>
    </w:rPr>
  </w:style>
  <w:style w:type="character" w:customStyle="1" w:styleId="64">
    <w:name w:val="标题 8 Char"/>
    <w:link w:val="10"/>
    <w:qFormat/>
    <w:uiPriority w:val="0"/>
    <w:rPr>
      <w:rFonts w:ascii="Arial" w:hAnsi="Arial" w:eastAsia="黑体"/>
      <w:kern w:val="2"/>
      <w:sz w:val="24"/>
      <w:szCs w:val="24"/>
      <w:lang w:val="en-US" w:eastAsia="zh-CN" w:bidi="ar-SA"/>
    </w:rPr>
  </w:style>
  <w:style w:type="character" w:customStyle="1" w:styleId="65">
    <w:name w:val="标题 9 Char"/>
    <w:link w:val="11"/>
    <w:qFormat/>
    <w:uiPriority w:val="0"/>
    <w:rPr>
      <w:rFonts w:ascii="Arial" w:hAnsi="Arial" w:eastAsia="黑体"/>
      <w:kern w:val="2"/>
      <w:sz w:val="21"/>
      <w:szCs w:val="24"/>
      <w:lang w:val="en-US" w:eastAsia="zh-CN" w:bidi="ar-SA"/>
    </w:rPr>
  </w:style>
  <w:style w:type="character" w:customStyle="1" w:styleId="66">
    <w:name w:val="页眉 Char"/>
    <w:link w:val="32"/>
    <w:qFormat/>
    <w:uiPriority w:val="99"/>
    <w:rPr>
      <w:sz w:val="18"/>
      <w:szCs w:val="18"/>
    </w:rPr>
  </w:style>
  <w:style w:type="character" w:customStyle="1" w:styleId="67">
    <w:name w:val="页脚 Char"/>
    <w:link w:val="31"/>
    <w:qFormat/>
    <w:uiPriority w:val="99"/>
    <w:rPr>
      <w:sz w:val="18"/>
      <w:szCs w:val="18"/>
    </w:rPr>
  </w:style>
  <w:style w:type="character" w:customStyle="1" w:styleId="68">
    <w:name w:val="纯文本 Char"/>
    <w:link w:val="25"/>
    <w:qFormat/>
    <w:uiPriority w:val="0"/>
    <w:rPr>
      <w:rFonts w:ascii="宋体" w:hAnsi="Courier New" w:eastAsia="宋体" w:cs="Courier New"/>
      <w:szCs w:val="21"/>
    </w:rPr>
  </w:style>
  <w:style w:type="character" w:customStyle="1" w:styleId="69">
    <w:name w:val="正文文本缩进 Char"/>
    <w:link w:val="20"/>
    <w:qFormat/>
    <w:uiPriority w:val="0"/>
    <w:rPr>
      <w:rFonts w:ascii="仿宋_GB2312" w:hAnsi="Times New Roman" w:eastAsia="仿宋_GB2312" w:cs="Times New Roman"/>
      <w:sz w:val="32"/>
      <w:szCs w:val="20"/>
    </w:rPr>
  </w:style>
  <w:style w:type="character" w:customStyle="1" w:styleId="70">
    <w:name w:val="批注文字 Char"/>
    <w:link w:val="17"/>
    <w:qFormat/>
    <w:uiPriority w:val="0"/>
    <w:rPr>
      <w:rFonts w:ascii="Times New Roman" w:hAnsi="Times New Roman"/>
      <w:kern w:val="2"/>
      <w:sz w:val="21"/>
      <w:szCs w:val="24"/>
    </w:rPr>
  </w:style>
  <w:style w:type="character" w:customStyle="1" w:styleId="71">
    <w:name w:val="正文文本 Char"/>
    <w:link w:val="19"/>
    <w:qFormat/>
    <w:uiPriority w:val="99"/>
    <w:rPr>
      <w:rFonts w:ascii="Times New Roman" w:hAnsi="Times New Roman"/>
      <w:kern w:val="2"/>
      <w:sz w:val="21"/>
      <w:szCs w:val="24"/>
    </w:rPr>
  </w:style>
  <w:style w:type="character" w:customStyle="1" w:styleId="72">
    <w:name w:val="日期 Char"/>
    <w:link w:val="27"/>
    <w:semiHidden/>
    <w:qFormat/>
    <w:uiPriority w:val="99"/>
    <w:rPr>
      <w:rFonts w:ascii="Times New Roman" w:hAnsi="Times New Roman"/>
      <w:kern w:val="2"/>
      <w:sz w:val="21"/>
      <w:szCs w:val="24"/>
    </w:rPr>
  </w:style>
  <w:style w:type="character" w:customStyle="1" w:styleId="73">
    <w:name w:val="apple-style-span"/>
    <w:basedOn w:val="51"/>
    <w:qFormat/>
    <w:uiPriority w:val="0"/>
  </w:style>
  <w:style w:type="character" w:customStyle="1" w:styleId="74">
    <w:name w:val="正文文本缩进 3 Char"/>
    <w:link w:val="40"/>
    <w:qFormat/>
    <w:uiPriority w:val="0"/>
    <w:rPr>
      <w:rFonts w:eastAsia="宋体"/>
      <w:kern w:val="2"/>
      <w:sz w:val="16"/>
      <w:szCs w:val="16"/>
      <w:lang w:val="en-US" w:eastAsia="zh-CN" w:bidi="ar-SA"/>
    </w:rPr>
  </w:style>
  <w:style w:type="character" w:customStyle="1" w:styleId="75">
    <w:name w:val="正文文本缩进 2 Char"/>
    <w:link w:val="28"/>
    <w:qFormat/>
    <w:uiPriority w:val="0"/>
    <w:rPr>
      <w:rFonts w:eastAsia="宋体"/>
      <w:kern w:val="2"/>
      <w:sz w:val="32"/>
      <w:lang w:val="en-US" w:eastAsia="zh-CN" w:bidi="ar-SA"/>
    </w:rPr>
  </w:style>
  <w:style w:type="character" w:customStyle="1" w:styleId="76">
    <w:name w:val="正文文本 2 Char"/>
    <w:link w:val="43"/>
    <w:qFormat/>
    <w:uiPriority w:val="0"/>
    <w:rPr>
      <w:rFonts w:eastAsia="宋体"/>
      <w:kern w:val="2"/>
      <w:sz w:val="21"/>
      <w:szCs w:val="24"/>
      <w:lang w:val="en-US" w:eastAsia="zh-CN" w:bidi="ar-SA"/>
    </w:rPr>
  </w:style>
  <w:style w:type="character" w:customStyle="1" w:styleId="77">
    <w:name w:val="正文文本 3 Char"/>
    <w:link w:val="18"/>
    <w:qFormat/>
    <w:uiPriority w:val="0"/>
    <w:rPr>
      <w:rFonts w:eastAsia="宋体"/>
      <w:b/>
      <w:bCs/>
      <w:kern w:val="2"/>
      <w:sz w:val="24"/>
      <w:szCs w:val="24"/>
      <w:lang w:val="en-US" w:eastAsia="zh-CN" w:bidi="ar-SA"/>
    </w:rPr>
  </w:style>
  <w:style w:type="paragraph" w:customStyle="1" w:styleId="78">
    <w:name w:val="样式 首行缩进:  2 字符"/>
    <w:basedOn w:val="1"/>
    <w:qFormat/>
    <w:uiPriority w:val="0"/>
    <w:pPr>
      <w:spacing w:line="400" w:lineRule="exact"/>
      <w:ind w:firstLine="200" w:firstLineChars="200"/>
    </w:pPr>
    <w:rPr>
      <w:rFonts w:cs="宋体"/>
      <w:sz w:val="24"/>
    </w:rPr>
  </w:style>
  <w:style w:type="paragraph" w:styleId="79">
    <w:name w:val="List Paragraph"/>
    <w:basedOn w:val="1"/>
    <w:qFormat/>
    <w:uiPriority w:val="0"/>
    <w:pPr>
      <w:ind w:firstLine="420" w:firstLineChars="200"/>
    </w:pPr>
  </w:style>
  <w:style w:type="paragraph" w:customStyle="1" w:styleId="8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81">
    <w:name w:val="apple-converted-space"/>
    <w:basedOn w:val="51"/>
    <w:qFormat/>
    <w:uiPriority w:val="0"/>
  </w:style>
  <w:style w:type="character" w:customStyle="1" w:styleId="82">
    <w:name w:val="普通文字 Char Char2"/>
    <w:qFormat/>
    <w:uiPriority w:val="0"/>
    <w:rPr>
      <w:rFonts w:ascii="宋体" w:hAnsi="Courier New" w:eastAsia="宋体"/>
      <w:kern w:val="2"/>
      <w:sz w:val="21"/>
      <w:lang w:val="en-US" w:eastAsia="zh-CN" w:bidi="ar-SA"/>
    </w:rPr>
  </w:style>
  <w:style w:type="paragraph" w:customStyle="1" w:styleId="83">
    <w:name w:val="正文首行缩进两字符"/>
    <w:basedOn w:val="1"/>
    <w:qFormat/>
    <w:uiPriority w:val="0"/>
    <w:pPr>
      <w:spacing w:line="360" w:lineRule="auto"/>
      <w:ind w:firstLine="200" w:firstLineChars="200"/>
    </w:pPr>
  </w:style>
  <w:style w:type="paragraph" w:customStyle="1" w:styleId="8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5">
    <w:name w:val="默认段落字体 Para Char Char Char Char Char Char Char Char Char1 Char Char Char Char"/>
    <w:basedOn w:val="1"/>
    <w:qFormat/>
    <w:uiPriority w:val="0"/>
    <w:rPr>
      <w:rFonts w:ascii="Tahoma" w:hAnsi="Tahoma"/>
      <w:sz w:val="24"/>
      <w:szCs w:val="20"/>
    </w:rPr>
  </w:style>
  <w:style w:type="paragraph" w:customStyle="1" w:styleId="86">
    <w:name w:val="Char1"/>
    <w:basedOn w:val="1"/>
    <w:qFormat/>
    <w:uiPriority w:val="0"/>
    <w:rPr>
      <w:szCs w:val="21"/>
    </w:rPr>
  </w:style>
  <w:style w:type="paragraph" w:customStyle="1" w:styleId="87">
    <w:name w:val="表格"/>
    <w:basedOn w:val="1"/>
    <w:qFormat/>
    <w:uiPriority w:val="0"/>
    <w:pPr>
      <w:spacing w:line="400" w:lineRule="exact"/>
    </w:pPr>
    <w:rPr>
      <w:sz w:val="24"/>
    </w:rPr>
  </w:style>
  <w:style w:type="paragraph" w:customStyle="1" w:styleId="88">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89">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 w:val="0"/>
      <w:bCs w:val="0"/>
      <w:sz w:val="28"/>
      <w:szCs w:val="20"/>
    </w:rPr>
  </w:style>
  <w:style w:type="paragraph" w:customStyle="1" w:styleId="90">
    <w:name w:val="正文段"/>
    <w:basedOn w:val="1"/>
    <w:qFormat/>
    <w:uiPriority w:val="0"/>
    <w:pPr>
      <w:widowControl/>
      <w:snapToGrid w:val="0"/>
      <w:spacing w:afterLines="50"/>
      <w:ind w:firstLine="200" w:firstLineChars="200"/>
    </w:pPr>
    <w:rPr>
      <w:kern w:val="0"/>
      <w:sz w:val="24"/>
      <w:szCs w:val="20"/>
    </w:rPr>
  </w:style>
  <w:style w:type="paragraph" w:customStyle="1" w:styleId="91">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92">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3">
    <w:name w:val="Char"/>
    <w:basedOn w:val="16"/>
    <w:semiHidden/>
    <w:qFormat/>
    <w:uiPriority w:val="0"/>
    <w:rPr>
      <w:rFonts w:ascii="Tahoma" w:hAnsi="Tahoma" w:cs="Tahoma"/>
      <w:kern w:val="0"/>
      <w:sz w:val="18"/>
    </w:rPr>
  </w:style>
  <w:style w:type="character" w:customStyle="1" w:styleId="94">
    <w:name w:val="正文首行缩进 Char"/>
    <w:link w:val="48"/>
    <w:qFormat/>
    <w:uiPriority w:val="0"/>
    <w:rPr>
      <w:rFonts w:ascii="宋体" w:hAnsi="Courier New" w:eastAsia="宋体" w:cs="Courier New"/>
      <w:szCs w:val="21"/>
    </w:rPr>
  </w:style>
  <w:style w:type="character" w:customStyle="1" w:styleId="95">
    <w:name w:val="标题 2 Char"/>
    <w:qFormat/>
    <w:uiPriority w:val="0"/>
    <w:rPr>
      <w:rFonts w:ascii="Cambria" w:hAnsi="Cambria" w:eastAsia="宋体" w:cs="Times New Roman"/>
      <w:b/>
      <w:bCs/>
      <w:color w:val="4F81BD"/>
      <w:kern w:val="2"/>
      <w:sz w:val="26"/>
      <w:szCs w:val="26"/>
    </w:rPr>
  </w:style>
  <w:style w:type="character" w:customStyle="1" w:styleId="96">
    <w:name w:val="Char Char18"/>
    <w:qFormat/>
    <w:uiPriority w:val="0"/>
    <w:rPr>
      <w:rFonts w:ascii="Calibri" w:hAnsi="Calibri" w:eastAsia="宋体" w:cs="Times New Roman"/>
      <w:b/>
      <w:bCs/>
      <w:sz w:val="28"/>
      <w:szCs w:val="28"/>
    </w:rPr>
  </w:style>
  <w:style w:type="character" w:customStyle="1" w:styleId="97">
    <w:name w:val="Char Char17"/>
    <w:qFormat/>
    <w:uiPriority w:val="0"/>
    <w:rPr>
      <w:rFonts w:ascii="Cambria" w:hAnsi="Cambria" w:eastAsia="宋体" w:cs="Times New Roman"/>
      <w:b/>
      <w:bCs/>
      <w:sz w:val="24"/>
      <w:szCs w:val="24"/>
    </w:rPr>
  </w:style>
  <w:style w:type="character" w:customStyle="1" w:styleId="98">
    <w:name w:val="Char Char16"/>
    <w:qFormat/>
    <w:uiPriority w:val="0"/>
    <w:rPr>
      <w:rFonts w:ascii="Calibri" w:hAnsi="Calibri" w:eastAsia="宋体" w:cs="Times New Roman"/>
      <w:b/>
      <w:bCs/>
      <w:sz w:val="24"/>
      <w:szCs w:val="24"/>
    </w:rPr>
  </w:style>
  <w:style w:type="character" w:customStyle="1" w:styleId="99">
    <w:name w:val="Char Char15"/>
    <w:qFormat/>
    <w:uiPriority w:val="0"/>
    <w:rPr>
      <w:rFonts w:ascii="Cambria" w:hAnsi="Cambria" w:eastAsia="宋体" w:cs="Times New Roman"/>
      <w:sz w:val="24"/>
      <w:szCs w:val="24"/>
    </w:rPr>
  </w:style>
  <w:style w:type="character" w:customStyle="1" w:styleId="100">
    <w:name w:val="Char Char14"/>
    <w:qFormat/>
    <w:uiPriority w:val="0"/>
    <w:rPr>
      <w:rFonts w:ascii="Cambria" w:hAnsi="Cambria" w:eastAsia="宋体" w:cs="Times New Roman"/>
      <w:sz w:val="21"/>
      <w:szCs w:val="21"/>
    </w:rPr>
  </w:style>
  <w:style w:type="character" w:customStyle="1" w:styleId="101">
    <w:name w:val="Char Char13"/>
    <w:qFormat/>
    <w:uiPriority w:val="0"/>
    <w:rPr>
      <w:rFonts w:ascii="Times New Roman" w:hAnsi="Times New Roman" w:eastAsia="宋体" w:cs="Times New Roman"/>
      <w:kern w:val="2"/>
      <w:sz w:val="18"/>
      <w:szCs w:val="18"/>
    </w:rPr>
  </w:style>
  <w:style w:type="character" w:customStyle="1" w:styleId="102">
    <w:name w:val="正文小标题 Char Char"/>
    <w:qFormat/>
    <w:uiPriority w:val="0"/>
    <w:rPr>
      <w:rFonts w:ascii="仿宋_GB2312" w:hAnsi="Times New Roman" w:eastAsia="仿宋_GB2312" w:cs="Times New Roman"/>
      <w:kern w:val="2"/>
      <w:sz w:val="32"/>
      <w:szCs w:val="20"/>
    </w:rPr>
  </w:style>
  <w:style w:type="character" w:customStyle="1" w:styleId="103">
    <w:name w:val="Char Char12"/>
    <w:qFormat/>
    <w:uiPriority w:val="0"/>
    <w:rPr>
      <w:rFonts w:ascii="Times New Roman" w:hAnsi="Times New Roman" w:eastAsia="宋体" w:cs="Times New Roman"/>
      <w:kern w:val="2"/>
      <w:sz w:val="18"/>
      <w:szCs w:val="18"/>
    </w:rPr>
  </w:style>
  <w:style w:type="paragraph" w:customStyle="1" w:styleId="104">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05">
    <w:name w:val="默认段落字体 Para Char"/>
    <w:basedOn w:val="1"/>
    <w:qFormat/>
    <w:uiPriority w:val="0"/>
    <w:rPr>
      <w:rFonts w:ascii="宋体" w:hAnsi="宋体"/>
      <w:b/>
      <w:sz w:val="28"/>
      <w:szCs w:val="28"/>
    </w:rPr>
  </w:style>
  <w:style w:type="paragraph" w:customStyle="1" w:styleId="106">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07">
    <w:name w:val="表格文字"/>
    <w:basedOn w:val="1"/>
    <w:qFormat/>
    <w:uiPriority w:val="0"/>
    <w:pPr>
      <w:spacing w:before="25" w:after="25"/>
      <w:jc w:val="left"/>
    </w:pPr>
    <w:rPr>
      <w:bCs/>
      <w:spacing w:val="10"/>
      <w:kern w:val="0"/>
      <w:sz w:val="24"/>
      <w:szCs w:val="20"/>
    </w:rPr>
  </w:style>
  <w:style w:type="paragraph" w:customStyle="1" w:styleId="108">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9">
    <w:name w:val="题注5"/>
    <w:basedOn w:val="1"/>
    <w:next w:val="15"/>
    <w:qFormat/>
    <w:uiPriority w:val="0"/>
    <w:pPr>
      <w:jc w:val="center"/>
    </w:pPr>
    <w:rPr>
      <w:b/>
      <w:color w:val="000000"/>
      <w:sz w:val="24"/>
      <w:szCs w:val="21"/>
    </w:rPr>
  </w:style>
  <w:style w:type="paragraph" w:customStyle="1" w:styleId="110">
    <w:name w:val="Char Char Char Char Char Char Char"/>
    <w:basedOn w:val="1"/>
    <w:qFormat/>
    <w:uiPriority w:val="0"/>
    <w:pPr>
      <w:tabs>
        <w:tab w:val="left" w:pos="425"/>
      </w:tabs>
      <w:ind w:left="425" w:hanging="425"/>
    </w:pPr>
    <w:rPr>
      <w:rFonts w:eastAsia="仿宋_GB2312"/>
      <w:kern w:val="24"/>
      <w:sz w:val="24"/>
    </w:rPr>
  </w:style>
  <w:style w:type="character" w:customStyle="1" w:styleId="111">
    <w:name w:val="Char Char11"/>
    <w:qFormat/>
    <w:uiPriority w:val="0"/>
    <w:rPr>
      <w:rFonts w:ascii="Times New Roman" w:hAnsi="Times New Roman" w:eastAsia="宋体" w:cs="Times New Roman"/>
      <w:kern w:val="2"/>
      <w:sz w:val="21"/>
      <w:szCs w:val="20"/>
    </w:rPr>
  </w:style>
  <w:style w:type="paragraph" w:customStyle="1" w:styleId="112">
    <w:name w:val="题注4"/>
    <w:basedOn w:val="1"/>
    <w:next w:val="15"/>
    <w:qFormat/>
    <w:uiPriority w:val="0"/>
    <w:pPr>
      <w:ind w:left="-132" w:leftChars="-64" w:right="-105" w:rightChars="-50" w:hanging="2"/>
      <w:jc w:val="center"/>
    </w:pPr>
    <w:rPr>
      <w:b/>
      <w:color w:val="FF0000"/>
      <w:szCs w:val="21"/>
      <w:lang w:val="en-GB"/>
    </w:rPr>
  </w:style>
  <w:style w:type="paragraph" w:customStyle="1" w:styleId="113">
    <w:name w:val="Char Char2 Char"/>
    <w:basedOn w:val="1"/>
    <w:qFormat/>
    <w:uiPriority w:val="0"/>
    <w:rPr>
      <w:rFonts w:ascii="宋体" w:hAnsi="宋体"/>
      <w:b/>
      <w:sz w:val="28"/>
      <w:szCs w:val="28"/>
    </w:rPr>
  </w:style>
  <w:style w:type="paragraph" w:customStyle="1" w:styleId="114">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5">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16">
    <w:name w:val="办公自动化专用标题"/>
    <w:basedOn w:val="46"/>
    <w:qFormat/>
    <w:uiPriority w:val="0"/>
    <w:pPr>
      <w:spacing w:line="560" w:lineRule="atLeast"/>
    </w:pPr>
    <w:rPr>
      <w:rFonts w:ascii="宋体" w:hAnsi="Arial"/>
      <w:bCs w:val="0"/>
      <w:sz w:val="44"/>
      <w:szCs w:val="20"/>
    </w:rPr>
  </w:style>
  <w:style w:type="paragraph" w:customStyle="1" w:styleId="117">
    <w:name w:val="Zchn Zchn"/>
    <w:basedOn w:val="1"/>
    <w:qFormat/>
    <w:uiPriority w:val="0"/>
    <w:rPr>
      <w:rFonts w:ascii="Tahoma" w:hAnsi="Tahoma"/>
      <w:sz w:val="24"/>
      <w:szCs w:val="20"/>
    </w:rPr>
  </w:style>
  <w:style w:type="paragraph" w:customStyle="1" w:styleId="118">
    <w:name w:val="Char Char Char"/>
    <w:basedOn w:val="1"/>
    <w:qFormat/>
    <w:uiPriority w:val="0"/>
    <w:rPr>
      <w:rFonts w:ascii="Tahoma" w:hAnsi="Tahoma"/>
      <w:sz w:val="24"/>
      <w:szCs w:val="20"/>
    </w:rPr>
  </w:style>
  <w:style w:type="character" w:customStyle="1" w:styleId="119">
    <w:name w:val="fontorange1"/>
    <w:qFormat/>
    <w:uiPriority w:val="0"/>
    <w:rPr>
      <w:rFonts w:hint="default" w:ascii="ˎ̥" w:hAnsi="ˎ̥" w:eastAsia="宋体"/>
      <w:color w:val="FF6600"/>
      <w:kern w:val="2"/>
      <w:sz w:val="18"/>
      <w:szCs w:val="18"/>
      <w:lang w:val="en-US" w:eastAsia="zh-CN" w:bidi="ar-SA"/>
    </w:rPr>
  </w:style>
  <w:style w:type="character" w:customStyle="1" w:styleId="120">
    <w:name w:val="ca-12"/>
    <w:qFormat/>
    <w:uiPriority w:val="0"/>
    <w:rPr>
      <w:rFonts w:eastAsia="宋体" w:cs="Times New Roman"/>
      <w:kern w:val="2"/>
      <w:sz w:val="24"/>
      <w:szCs w:val="24"/>
      <w:lang w:val="en-US" w:eastAsia="zh-CN" w:bidi="ar-SA"/>
    </w:rPr>
  </w:style>
  <w:style w:type="paragraph" w:customStyle="1" w:styleId="121">
    <w:name w:val="Char Char2 Char Char Char Char Char"/>
    <w:basedOn w:val="1"/>
    <w:qFormat/>
    <w:uiPriority w:val="0"/>
    <w:pPr>
      <w:numPr>
        <w:ilvl w:val="0"/>
        <w:numId w:val="3"/>
      </w:numPr>
    </w:pPr>
    <w:rPr>
      <w:sz w:val="24"/>
    </w:rPr>
  </w:style>
  <w:style w:type="paragraph" w:customStyle="1" w:styleId="122">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23">
    <w:name w:val="标题-3"/>
    <w:basedOn w:val="1"/>
    <w:link w:val="124"/>
    <w:qFormat/>
    <w:uiPriority w:val="0"/>
    <w:pPr>
      <w:spacing w:beforeLines="50" w:afterLines="50"/>
      <w:outlineLvl w:val="2"/>
    </w:pPr>
    <w:rPr>
      <w:rFonts w:ascii="宋体" w:hAnsi="宋体"/>
      <w:b/>
      <w:kern w:val="0"/>
      <w:sz w:val="24"/>
    </w:rPr>
  </w:style>
  <w:style w:type="character" w:customStyle="1" w:styleId="124">
    <w:name w:val="标题-3 Char"/>
    <w:link w:val="123"/>
    <w:qFormat/>
    <w:uiPriority w:val="0"/>
    <w:rPr>
      <w:rFonts w:ascii="宋体" w:hAnsi="宋体" w:eastAsia="宋体"/>
      <w:b/>
      <w:sz w:val="24"/>
      <w:szCs w:val="24"/>
      <w:lang w:bidi="ar-SA"/>
    </w:rPr>
  </w:style>
  <w:style w:type="paragraph" w:customStyle="1" w:styleId="125">
    <w:name w:val="Char Char Char Char"/>
    <w:basedOn w:val="1"/>
    <w:qFormat/>
    <w:uiPriority w:val="0"/>
    <w:pPr>
      <w:tabs>
        <w:tab w:val="left" w:pos="780"/>
      </w:tabs>
      <w:ind w:left="780" w:hanging="360"/>
    </w:pPr>
    <w:rPr>
      <w:sz w:val="24"/>
    </w:rPr>
  </w:style>
  <w:style w:type="paragraph" w:customStyle="1" w:styleId="12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Cs w:val="21"/>
    </w:rPr>
  </w:style>
  <w:style w:type="paragraph" w:customStyle="1" w:styleId="127">
    <w:name w:val="修订1"/>
    <w:hidden/>
    <w:semiHidden/>
    <w:qFormat/>
    <w:uiPriority w:val="0"/>
    <w:rPr>
      <w:rFonts w:ascii="Times New Roman" w:hAnsi="Times New Roman" w:eastAsia="宋体" w:cs="Times New Roman"/>
      <w:kern w:val="2"/>
      <w:sz w:val="21"/>
      <w:szCs w:val="24"/>
      <w:lang w:val="en-US" w:eastAsia="zh-CN" w:bidi="ar-SA"/>
    </w:rPr>
  </w:style>
  <w:style w:type="character" w:customStyle="1" w:styleId="128">
    <w:name w:val="2nd level Char"/>
    <w:qFormat/>
    <w:uiPriority w:val="0"/>
    <w:rPr>
      <w:rFonts w:ascii="Arial" w:hAnsi="Arial" w:eastAsia="黑体" w:cs="Times New Roman"/>
      <w:b/>
      <w:bCs/>
      <w:kern w:val="2"/>
      <w:sz w:val="32"/>
      <w:szCs w:val="32"/>
    </w:rPr>
  </w:style>
  <w:style w:type="character" w:customStyle="1" w:styleId="129">
    <w:name w:val="Char Char171"/>
    <w:qFormat/>
    <w:uiPriority w:val="0"/>
    <w:rPr>
      <w:rFonts w:ascii="Calibri" w:hAnsi="Calibri" w:eastAsia="宋体" w:cs="Times New Roman"/>
      <w:b/>
      <w:bCs/>
      <w:kern w:val="2"/>
      <w:sz w:val="32"/>
      <w:szCs w:val="32"/>
      <w:lang w:val="en-US" w:eastAsia="zh-CN" w:bidi="ar-SA"/>
    </w:rPr>
  </w:style>
  <w:style w:type="character" w:customStyle="1" w:styleId="130">
    <w:name w:val="Char Char9"/>
    <w:qFormat/>
    <w:uiPriority w:val="0"/>
    <w:rPr>
      <w:rFonts w:ascii="Calibri" w:hAnsi="Calibri" w:eastAsia="宋体" w:cs="Times New Roman"/>
      <w:kern w:val="2"/>
      <w:sz w:val="18"/>
      <w:szCs w:val="18"/>
      <w:lang w:val="en-US" w:eastAsia="zh-CN" w:bidi="ar-SA"/>
    </w:rPr>
  </w:style>
  <w:style w:type="paragraph" w:customStyle="1" w:styleId="131">
    <w:name w:val="List Paragraph1"/>
    <w:basedOn w:val="1"/>
    <w:qFormat/>
    <w:uiPriority w:val="0"/>
    <w:pPr>
      <w:widowControl/>
      <w:spacing w:after="200" w:line="276" w:lineRule="auto"/>
      <w:ind w:left="720"/>
      <w:jc w:val="left"/>
    </w:pPr>
    <w:rPr>
      <w:rFonts w:ascii="Calibri" w:hAnsi="Calibri"/>
      <w:kern w:val="0"/>
      <w:sz w:val="22"/>
      <w:szCs w:val="22"/>
    </w:rPr>
  </w:style>
  <w:style w:type="character" w:customStyle="1" w:styleId="132">
    <w:name w:val="无缩进 Char"/>
    <w:qFormat/>
    <w:uiPriority w:val="0"/>
    <w:rPr>
      <w:rFonts w:ascii="Times New Roman" w:hAnsi="Times New Roman" w:eastAsia="宋体" w:cs="Times New Roman"/>
      <w:kern w:val="2"/>
      <w:sz w:val="21"/>
      <w:szCs w:val="20"/>
    </w:rPr>
  </w:style>
  <w:style w:type="character" w:customStyle="1" w:styleId="133">
    <w:name w:val="short_text"/>
    <w:qFormat/>
    <w:uiPriority w:val="0"/>
    <w:rPr>
      <w:rFonts w:eastAsia="宋体"/>
      <w:kern w:val="2"/>
      <w:sz w:val="24"/>
      <w:szCs w:val="24"/>
      <w:lang w:val="en-US" w:eastAsia="zh-CN" w:bidi="ar-SA"/>
    </w:rPr>
  </w:style>
  <w:style w:type="paragraph" w:customStyle="1" w:styleId="134">
    <w:name w:val="TOC 标题1"/>
    <w:basedOn w:val="2"/>
    <w:next w:val="1"/>
    <w:qFormat/>
    <w:uiPriority w:val="0"/>
    <w:pPr>
      <w:widowControl/>
      <w:numPr>
        <w:ilvl w:val="0"/>
        <w:numId w:val="4"/>
      </w:numPr>
      <w:spacing w:before="480" w:after="0" w:line="276" w:lineRule="auto"/>
      <w:jc w:val="left"/>
      <w:outlineLvl w:val="9"/>
    </w:pPr>
    <w:rPr>
      <w:rFonts w:ascii="Cambria" w:hAnsi="Cambria"/>
      <w:color w:val="365F91"/>
      <w:kern w:val="0"/>
      <w:sz w:val="28"/>
      <w:szCs w:val="28"/>
    </w:rPr>
  </w:style>
  <w:style w:type="paragraph" w:customStyle="1" w:styleId="135">
    <w:name w:val="Copyright"/>
    <w:basedOn w:val="1"/>
    <w:qFormat/>
    <w:uiPriority w:val="0"/>
    <w:pPr>
      <w:widowControl/>
      <w:spacing w:before="480" w:after="60"/>
      <w:jc w:val="center"/>
    </w:pPr>
    <w:rPr>
      <w:rFonts w:ascii="Trebuchet MS" w:hAnsi="Trebuchet MS" w:cs="Trebuchet MS"/>
      <w:b/>
      <w:color w:val="042D56"/>
      <w:kern w:val="0"/>
      <w:sz w:val="20"/>
      <w:lang w:val="en-AU" w:eastAsia="en-AU"/>
    </w:rPr>
  </w:style>
  <w:style w:type="paragraph" w:customStyle="1" w:styleId="136">
    <w:name w:val="四级标题"/>
    <w:basedOn w:val="1"/>
    <w:link w:val="137"/>
    <w:qFormat/>
    <w:uiPriority w:val="0"/>
    <w:pPr>
      <w:numPr>
        <w:ilvl w:val="0"/>
        <w:numId w:val="5"/>
      </w:numPr>
      <w:spacing w:line="360" w:lineRule="auto"/>
      <w:outlineLvl w:val="3"/>
    </w:pPr>
    <w:rPr>
      <w:rFonts w:ascii="Calibri" w:hAnsi="Calibri" w:eastAsia="黑体"/>
      <w:b/>
      <w:sz w:val="28"/>
      <w:szCs w:val="20"/>
    </w:rPr>
  </w:style>
  <w:style w:type="character" w:customStyle="1" w:styleId="137">
    <w:name w:val="四级标题 Char"/>
    <w:link w:val="136"/>
    <w:qFormat/>
    <w:uiPriority w:val="0"/>
    <w:rPr>
      <w:rFonts w:eastAsia="黑体"/>
      <w:b/>
      <w:kern w:val="2"/>
      <w:sz w:val="28"/>
      <w:lang w:bidi="ar-SA"/>
    </w:rPr>
  </w:style>
  <w:style w:type="paragraph" w:customStyle="1" w:styleId="138">
    <w:name w:val="五级标题"/>
    <w:basedOn w:val="1"/>
    <w:link w:val="139"/>
    <w:qFormat/>
    <w:uiPriority w:val="0"/>
    <w:pPr>
      <w:numPr>
        <w:ilvl w:val="0"/>
        <w:numId w:val="6"/>
      </w:numPr>
      <w:spacing w:line="360" w:lineRule="auto"/>
      <w:outlineLvl w:val="4"/>
    </w:pPr>
    <w:rPr>
      <w:rFonts w:ascii="Calibri" w:hAnsi="Calibri" w:eastAsia="黑体"/>
      <w:b/>
      <w:sz w:val="28"/>
      <w:szCs w:val="20"/>
    </w:rPr>
  </w:style>
  <w:style w:type="character" w:customStyle="1" w:styleId="139">
    <w:name w:val="五级标题 Char"/>
    <w:link w:val="138"/>
    <w:qFormat/>
    <w:uiPriority w:val="0"/>
    <w:rPr>
      <w:rFonts w:eastAsia="黑体"/>
      <w:b/>
      <w:kern w:val="2"/>
      <w:sz w:val="28"/>
      <w:lang w:bidi="ar-SA"/>
    </w:rPr>
  </w:style>
  <w:style w:type="paragraph" w:customStyle="1" w:styleId="140">
    <w:name w:val="Char Char Char Char Char Char"/>
    <w:basedOn w:val="1"/>
    <w:qFormat/>
    <w:uiPriority w:val="0"/>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141">
    <w:name w:val="招标文件样式2"/>
    <w:basedOn w:val="1"/>
    <w:qFormat/>
    <w:uiPriority w:val="0"/>
    <w:pPr>
      <w:jc w:val="center"/>
      <w:outlineLvl w:val="0"/>
    </w:pPr>
    <w:rPr>
      <w:rFonts w:ascii="宋体" w:hAnsi="宋体"/>
      <w:b/>
      <w:sz w:val="28"/>
      <w:szCs w:val="28"/>
    </w:rPr>
  </w:style>
  <w:style w:type="paragraph" w:customStyle="1" w:styleId="142">
    <w:name w:val="列出段落1"/>
    <w:basedOn w:val="1"/>
    <w:qFormat/>
    <w:uiPriority w:val="99"/>
    <w:pPr>
      <w:ind w:firstLine="420" w:firstLineChars="200"/>
    </w:pPr>
  </w:style>
  <w:style w:type="paragraph" w:customStyle="1" w:styleId="143">
    <w:name w:val="WPSOffice手动目录 1"/>
    <w:qFormat/>
    <w:uiPriority w:val="0"/>
    <w:rPr>
      <w:rFonts w:ascii="Times New Roman" w:hAnsi="Times New Roman" w:eastAsia="宋体" w:cs="Times New Roman"/>
      <w:lang w:val="en-US" w:eastAsia="zh-CN" w:bidi="ar-SA"/>
    </w:rPr>
  </w:style>
  <w:style w:type="paragraph" w:customStyle="1" w:styleId="14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4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F2421B7-0E80-42A9-BC95-AB8768BE14D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31</Pages>
  <Words>2801</Words>
  <Characters>15967</Characters>
  <Lines>133</Lines>
  <Paragraphs>37</Paragraphs>
  <TotalTime>0</TotalTime>
  <ScaleCrop>false</ScaleCrop>
  <LinksUpToDate>false</LinksUpToDate>
  <CharactersWithSpaces>18731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2017-07-10T11:35:00Z</dcterms:created>
  <dc:creator>唐冰</dc:creator>
  <cp:lastModifiedBy>庞东牌</cp:lastModifiedBy>
  <cp:lastPrinted>2019-05-31T01:42:00Z</cp:lastPrinted>
  <dcterms:modified xsi:type="dcterms:W3CDTF">2020-04-20T03:25:32Z</dcterms:modified>
  <dc:title>竞争性谈判文件规范</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