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rFonts w:ascii="仿宋_GB2312" w:eastAsia="仿宋_GB2312" w:cs="仿宋_GB2312"/>
          <w:b/>
          <w:bCs/>
          <w:sz w:val="10"/>
          <w:szCs w:val="10"/>
        </w:rPr>
      </w:pPr>
      <w:bookmarkStart w:id="0" w:name="OLE_LINK1"/>
      <w:bookmarkStart w:id="1" w:name="OLE_LINK2"/>
      <w:r>
        <w:rPr>
          <w:rFonts w:hint="eastAsia" w:ascii="仿宋_GB2312" w:eastAsia="仿宋_GB2312" w:cs="仿宋_GB2312"/>
          <w:b/>
          <w:bCs/>
          <w:sz w:val="10"/>
          <w:szCs w:val="10"/>
        </w:rPr>
        <w:t xml:space="preserve">                                                 </w:t>
      </w:r>
    </w:p>
    <w:p>
      <w:pPr>
        <w:pStyle w:val="10"/>
        <w:jc w:val="center"/>
        <w:rPr>
          <w:rFonts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pStyle w:val="10"/>
        <w:jc w:val="center"/>
        <w:rPr>
          <w:rFonts w:ascii="黑体" w:hAnsi="黑体" w:eastAsia="黑体" w:cs="仿宋_GB2312"/>
          <w:b/>
          <w:sz w:val="32"/>
          <w:szCs w:val="32"/>
        </w:rPr>
      </w:pPr>
      <w:r>
        <w:rPr>
          <w:rFonts w:hint="eastAsia" w:eastAsia="华文新魏"/>
          <w:color w:val="auto"/>
          <w:sz w:val="72"/>
          <w:szCs w:val="72"/>
          <w:highlight w:val="none"/>
          <w:lang w:eastAsia="zh-CN"/>
        </w:rPr>
        <w:t>竞争性磋商</w:t>
      </w:r>
      <w:r>
        <w:rPr>
          <w:rFonts w:eastAsia="华文新魏"/>
          <w:color w:val="auto"/>
          <w:sz w:val="72"/>
          <w:szCs w:val="72"/>
          <w:highlight w:val="none"/>
        </w:rPr>
        <w:t>采购文件</w:t>
      </w:r>
    </w:p>
    <w:p>
      <w:pPr>
        <w:pStyle w:val="10"/>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0"/>
        <w:rPr>
          <w:rFonts w:hint="eastAsia" w:ascii="仿宋_GB2312" w:hAnsi="黑体" w:eastAsia="仿宋_GB2312" w:cs="仿宋_GB2312"/>
          <w:b/>
          <w:sz w:val="28"/>
          <w:szCs w:val="28"/>
        </w:rPr>
      </w:pPr>
    </w:p>
    <w:p>
      <w:pPr>
        <w:pStyle w:val="10"/>
        <w:ind w:left="2491" w:leftChars="524" w:hanging="1391" w:hangingChars="495"/>
        <w:rPr>
          <w:rFonts w:hint="eastAsia" w:ascii="仿宋_GB2312" w:hAnsi="黑体" w:eastAsia="仿宋_GB2312" w:cs="仿宋_GB2312"/>
          <w:b/>
          <w:sz w:val="28"/>
          <w:szCs w:val="28"/>
        </w:rPr>
      </w:pPr>
    </w:p>
    <w:p>
      <w:pPr>
        <w:pStyle w:val="10"/>
        <w:ind w:left="2491" w:leftChars="524" w:hanging="1391" w:hangingChars="495"/>
        <w:jc w:val="left"/>
        <w:rPr>
          <w:rFonts w:hint="eastAsia" w:ascii="仿宋_GB2312" w:hAnsi="黑体" w:eastAsia="仿宋_GB2312" w:cs="仿宋_GB2312"/>
          <w:b/>
          <w:sz w:val="28"/>
          <w:szCs w:val="28"/>
        </w:rPr>
      </w:pPr>
      <w:r>
        <w:rPr>
          <w:rFonts w:hint="eastAsia" w:ascii="仿宋_GB2312" w:hAnsi="黑体" w:eastAsia="仿宋_GB2312" w:cs="仿宋_GB2312"/>
          <w:b/>
          <w:sz w:val="28"/>
          <w:szCs w:val="28"/>
        </w:rPr>
        <w:t>项目名称：会展城商业中心VI及标识设计更换等施工一体化服务</w:t>
      </w:r>
    </w:p>
    <w:p>
      <w:pPr>
        <w:pStyle w:val="10"/>
        <w:ind w:left="2491" w:leftChars="524" w:hanging="1391" w:hangingChars="495"/>
        <w:jc w:val="left"/>
        <w:rPr>
          <w:rFonts w:hint="default" w:ascii="仿宋_GB2312" w:hAnsi="黑体" w:eastAsia="仿宋_GB2312" w:cs="仿宋_GB2312"/>
          <w:b/>
          <w:sz w:val="28"/>
          <w:szCs w:val="28"/>
          <w:lang w:val="en-US"/>
        </w:rPr>
      </w:pPr>
      <w:r>
        <w:rPr>
          <w:rFonts w:hint="eastAsia" w:ascii="仿宋_GB2312" w:hAnsi="黑体" w:eastAsia="仿宋_GB2312" w:cs="仿宋_GB2312"/>
          <w:b/>
          <w:sz w:val="28"/>
          <w:szCs w:val="28"/>
          <w:lang w:val="en-US" w:eastAsia="zh-CN"/>
        </w:rPr>
        <w:t>采购</w:t>
      </w:r>
      <w:r>
        <w:rPr>
          <w:rFonts w:hint="eastAsia" w:ascii="仿宋_GB2312" w:hAnsi="黑体" w:eastAsia="仿宋_GB2312" w:cs="仿宋_GB2312"/>
          <w:b/>
          <w:sz w:val="28"/>
          <w:szCs w:val="28"/>
        </w:rPr>
        <w:t>单位：广西</w:t>
      </w:r>
      <w:r>
        <w:rPr>
          <w:rFonts w:hint="eastAsia" w:ascii="仿宋_GB2312" w:hAnsi="黑体" w:eastAsia="仿宋_GB2312" w:cs="仿宋_GB2312"/>
          <w:b/>
          <w:sz w:val="28"/>
          <w:szCs w:val="28"/>
          <w:lang w:val="en-US" w:eastAsia="zh-CN"/>
        </w:rPr>
        <w:t>南博国际会展有限责任公司</w:t>
      </w:r>
    </w:p>
    <w:bookmarkEnd w:id="0"/>
    <w:bookmarkEnd w:id="1"/>
    <w:p>
      <w:pPr>
        <w:tabs>
          <w:tab w:val="left" w:pos="632"/>
        </w:tabs>
        <w:jc w:val="both"/>
        <w:rPr>
          <w:rFonts w:hint="eastAsia" w:ascii="仿宋_GB2312" w:eastAsia="仿宋_GB2312"/>
          <w:b/>
          <w:bCs/>
          <w:color w:val="000000"/>
          <w:sz w:val="36"/>
          <w:szCs w:val="36"/>
          <w:lang w:val="en-US" w:eastAsia="zh-CN"/>
        </w:rPr>
      </w:pPr>
      <w:r>
        <w:rPr>
          <w:rFonts w:hint="eastAsia" w:ascii="仿宋_GB2312" w:eastAsia="仿宋_GB2312"/>
          <w:b/>
          <w:bCs/>
          <w:color w:val="000000"/>
          <w:sz w:val="36"/>
          <w:szCs w:val="36"/>
          <w:lang w:val="en-US" w:eastAsia="zh-CN"/>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w:t>
      </w:r>
      <w:r>
        <w:rPr>
          <w:rFonts w:hint="eastAsia" w:ascii="仿宋_GB2312" w:hAnsi="宋体" w:eastAsia="仿宋_GB2312"/>
          <w:color w:val="000000"/>
          <w:szCs w:val="21"/>
          <w:lang w:val="en-US" w:eastAsia="zh-CN"/>
        </w:rPr>
        <w:t>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方案设计</w:t>
      </w:r>
      <w:r>
        <w:rPr>
          <w:rFonts w:hint="eastAsia" w:ascii="仿宋_GB2312" w:hAnsi="宋体" w:eastAsia="仿宋_GB2312"/>
          <w:color w:val="000000"/>
          <w:szCs w:val="21"/>
          <w:lang w:eastAsia="zh-CN"/>
        </w:rPr>
        <w:t>及</w:t>
      </w:r>
      <w:r>
        <w:rPr>
          <w:rFonts w:hint="eastAsia" w:ascii="仿宋_GB2312" w:hAnsi="宋体" w:eastAsia="仿宋_GB2312"/>
          <w:color w:val="000000"/>
          <w:szCs w:val="21"/>
        </w:rPr>
        <w:t>要求…………………………………………………………………</w:t>
      </w:r>
      <w:r>
        <w:rPr>
          <w:rFonts w:hint="eastAsia" w:ascii="仿宋_GB2312" w:hAnsi="宋体" w:eastAsia="仿宋_GB2312"/>
          <w:color w:val="000000"/>
          <w:szCs w:val="21"/>
          <w:lang w:val="en-US" w:eastAsia="zh-CN"/>
        </w:rPr>
        <w:t>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9</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 ……………………………………………………………………………</w:t>
      </w:r>
      <w:r>
        <w:rPr>
          <w:rFonts w:hint="eastAsia" w:ascii="仿宋_GB2312" w:hAnsi="宋体" w:eastAsia="仿宋_GB2312"/>
          <w:color w:val="000000"/>
          <w:szCs w:val="21"/>
          <w:lang w:val="en-US" w:eastAsia="zh-CN"/>
        </w:rPr>
        <w:t>28</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both"/>
        <w:rPr>
          <w:rFonts w:ascii="宋体" w:hAnsi="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竞争性磋商邀请书</w:t>
      </w:r>
    </w:p>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ascii="仿宋_GB2312" w:hAnsi="宋体" w:eastAsia="仿宋_GB2312"/>
          <w:color w:val="000000"/>
          <w:sz w:val="28"/>
          <w:szCs w:val="28"/>
          <w:u w:val="single"/>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广西</w:t>
      </w:r>
      <w:r>
        <w:rPr>
          <w:rFonts w:hint="eastAsia" w:ascii="仿宋_GB2312" w:hAnsi="宋体" w:eastAsia="仿宋_GB2312"/>
          <w:color w:val="000000"/>
          <w:sz w:val="28"/>
          <w:szCs w:val="28"/>
          <w:lang w:val="en-US" w:eastAsia="zh-CN"/>
        </w:rPr>
        <w:t>南博国际会展有限责任</w:t>
      </w:r>
      <w:r>
        <w:rPr>
          <w:rFonts w:hint="eastAsia" w:ascii="仿宋_GB2312" w:hAnsi="宋体" w:eastAsia="仿宋_GB2312"/>
          <w:color w:val="000000"/>
          <w:sz w:val="28"/>
          <w:szCs w:val="28"/>
        </w:rPr>
        <w:t>公</w:t>
      </w:r>
      <w:r>
        <w:rPr>
          <w:rFonts w:hint="eastAsia" w:ascii="仿宋_GB2312" w:hAnsi="宋体" w:eastAsia="仿宋_GB2312"/>
          <w:color w:val="000000"/>
          <w:sz w:val="28"/>
          <w:szCs w:val="28"/>
          <w:lang w:val="en-US" w:eastAsia="zh-CN"/>
        </w:rPr>
        <w:t>司就</w:t>
      </w:r>
      <w:r>
        <w:rPr>
          <w:rFonts w:hint="eastAsia" w:ascii="仿宋_GB2312" w:hAnsi="宋体" w:eastAsia="仿宋_GB2312"/>
          <w:color w:val="000000"/>
          <w:sz w:val="28"/>
          <w:szCs w:val="28"/>
          <w:u w:val="single"/>
          <w:lang w:val="en-US" w:eastAsia="zh-CN"/>
        </w:rPr>
        <w:t xml:space="preserve">  会展城商业中心VI及标识设计更换等施工一体化服务项目  </w:t>
      </w:r>
      <w:r>
        <w:rPr>
          <w:rFonts w:hint="eastAsia" w:ascii="仿宋_GB2312" w:hAnsi="宋体" w:eastAsia="仿宋_GB2312"/>
          <w:color w:val="000000"/>
          <w:sz w:val="28"/>
          <w:szCs w:val="28"/>
          <w:lang w:val="en-US" w:eastAsia="zh-CN"/>
        </w:rPr>
        <w:t>进行竞</w:t>
      </w:r>
      <w:r>
        <w:rPr>
          <w:rFonts w:hint="eastAsia" w:ascii="仿宋_GB2312" w:hAnsi="宋体" w:eastAsia="仿宋_GB2312"/>
          <w:color w:val="000000"/>
          <w:sz w:val="28"/>
          <w:szCs w:val="28"/>
        </w:rPr>
        <w:t>争性磋商</w:t>
      </w:r>
      <w:r>
        <w:rPr>
          <w:rFonts w:hint="eastAsia" w:ascii="仿宋_GB2312" w:hAnsi="宋体" w:eastAsia="仿宋_GB2312"/>
          <w:color w:val="000000"/>
          <w:sz w:val="28"/>
          <w:szCs w:val="28"/>
          <w:lang w:val="en-US" w:eastAsia="zh-CN"/>
        </w:rPr>
        <w:t>采购</w:t>
      </w:r>
      <w:r>
        <w:rPr>
          <w:rFonts w:hint="eastAsia" w:ascii="仿宋_GB2312" w:hAnsi="宋体" w:eastAsia="仿宋_GB2312"/>
          <w:color w:val="000000"/>
          <w:sz w:val="28"/>
          <w:szCs w:val="28"/>
        </w:rPr>
        <w:t>，</w:t>
      </w:r>
      <w:r>
        <w:rPr>
          <w:rFonts w:hint="eastAsia" w:ascii="仿宋_GB2312" w:hAnsi="宋体" w:eastAsia="仿宋_GB2312"/>
          <w:sz w:val="28"/>
          <w:szCs w:val="28"/>
        </w:rPr>
        <w:t>特邀请贵单位参加竞标。有</w:t>
      </w:r>
      <w:r>
        <w:rPr>
          <w:rFonts w:hint="eastAsia" w:ascii="仿宋_GB2312" w:hAnsi="宋体" w:eastAsia="仿宋_GB2312"/>
          <w:color w:val="000000"/>
          <w:sz w:val="28"/>
          <w:szCs w:val="28"/>
        </w:rPr>
        <w:t>关事项如下: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default" w:ascii="仿宋_GB2312" w:hAnsi="宋体" w:eastAsia="仿宋_GB2312"/>
          <w:color w:val="000000"/>
          <w:sz w:val="28"/>
          <w:szCs w:val="28"/>
          <w:u w:val="none"/>
          <w:lang w:val="en-US" w:eastAsia="zh-CN"/>
        </w:rPr>
      </w:pPr>
      <w:r>
        <w:rPr>
          <w:rFonts w:hint="eastAsia" w:ascii="仿宋_GB2312" w:hAnsi="宋体" w:eastAsia="仿宋_GB2312"/>
          <w:color w:val="000000"/>
          <w:sz w:val="28"/>
          <w:szCs w:val="28"/>
        </w:rPr>
        <w:t>一、项目</w:t>
      </w:r>
      <w:r>
        <w:rPr>
          <w:rFonts w:hint="eastAsia" w:ascii="仿宋_GB2312" w:hAnsi="宋体" w:eastAsia="仿宋_GB2312"/>
          <w:color w:val="000000"/>
          <w:sz w:val="28"/>
          <w:szCs w:val="28"/>
          <w:u w:val="none"/>
          <w:lang w:val="en-US" w:eastAsia="zh-CN"/>
        </w:rPr>
        <w:t>名称：</w:t>
      </w:r>
      <w:r>
        <w:rPr>
          <w:rFonts w:hint="eastAsia" w:ascii="仿宋_GB2312" w:hAnsi="宋体" w:eastAsia="仿宋_GB2312"/>
          <w:color w:val="000000"/>
          <w:sz w:val="28"/>
          <w:szCs w:val="28"/>
          <w:u w:val="single"/>
          <w:lang w:val="en-US" w:eastAsia="zh-CN"/>
        </w:rPr>
        <w:t>会展城商业中心VI及标识设计更换等施工一体化服务。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二、竞标内容：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eastAsia="仿宋_GB2312" w:hAnsiTheme="minorEastAsia" w:cstheme="minorEastAsia"/>
          <w:sz w:val="28"/>
          <w:szCs w:val="28"/>
        </w:rPr>
      </w:pPr>
      <w:r>
        <w:rPr>
          <w:rFonts w:hint="eastAsia" w:ascii="仿宋_GB2312" w:hAnsi="宋体" w:eastAsia="仿宋_GB2312"/>
          <w:color w:val="000000"/>
          <w:sz w:val="28"/>
          <w:szCs w:val="28"/>
          <w:u w:val="none"/>
          <w:lang w:val="en-US" w:eastAsia="zh-CN"/>
        </w:rPr>
        <w:t>更换会展城F、G区涉及“方圆荟”字样的广告画面、指示牌、LOGO等物料</w:t>
      </w:r>
      <w:r>
        <w:rPr>
          <w:rFonts w:hint="eastAsia" w:ascii="仿宋_GB2312" w:eastAsia="仿宋_GB2312" w:hAnsi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1121" w:leftChars="267" w:hanging="560" w:hanging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三、竞标人资格</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投标人应具有独立法人资格和独立签订合同的权利，应为中华人民共和国境内注册的企业法人；</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经营范围必须涵盖所提供商品或服务的内容，且具有企业法人营业执照（须提供盖公章的复印件，原件备查）。</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具有良好的银行资信和商业信誉，没有处于被责令停业，财产被接</w:t>
      </w:r>
      <w:r>
        <w:rPr>
          <w:rFonts w:hint="eastAsia" w:ascii="仿宋_GB2312" w:hAnsi="宋体" w:eastAsia="仿宋_GB2312"/>
          <w:sz w:val="28"/>
          <w:szCs w:val="28"/>
        </w:rPr>
        <w:t>管、冻结，破产状态；</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rPr>
        <w:t>四</w:t>
      </w:r>
      <w:r>
        <w:rPr>
          <w:rFonts w:hint="eastAsia" w:ascii="仿宋_GB2312" w:hAnsi="宋体" w:eastAsia="仿宋_GB2312"/>
          <w:sz w:val="28"/>
          <w:szCs w:val="28"/>
          <w:u w:val="none"/>
          <w:lang w:val="en-US" w:eastAsia="zh-CN"/>
        </w:rPr>
        <w:t>、获取竞争性磋商文件时间及地点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宋体" w:eastAsia="仿宋_GB2312"/>
          <w:sz w:val="28"/>
          <w:szCs w:val="28"/>
          <w:u w:val="none"/>
          <w:lang w:eastAsia="zh-CN"/>
        </w:rPr>
      </w:pPr>
      <w:r>
        <w:rPr>
          <w:rFonts w:hint="eastAsia" w:ascii="仿宋_GB2312" w:hAnsi="宋体" w:eastAsia="仿宋_GB2312"/>
          <w:sz w:val="28"/>
          <w:szCs w:val="28"/>
          <w:u w:val="none"/>
          <w:lang w:val="en-US" w:eastAsia="zh-CN"/>
        </w:rPr>
        <w:t>请于2021年11月30日公告发布之日起至2021年12月5日止到广西国际博览集团有限</w:t>
      </w:r>
      <w:r>
        <w:rPr>
          <w:rFonts w:hint="eastAsia" w:ascii="仿宋_GB2312" w:hAnsi="宋体" w:eastAsia="仿宋_GB2312"/>
          <w:sz w:val="28"/>
          <w:szCs w:val="28"/>
          <w:u w:val="none"/>
        </w:rPr>
        <w:t>公司</w:t>
      </w:r>
      <w:r>
        <w:rPr>
          <w:rFonts w:hint="eastAsia" w:ascii="仿宋_GB2312" w:hAnsi="宋体" w:eastAsia="仿宋_GB2312"/>
          <w:sz w:val="28"/>
          <w:szCs w:val="28"/>
          <w:u w:val="none"/>
          <w:lang w:val="en-US" w:eastAsia="zh-CN"/>
        </w:rPr>
        <w:t>官网及微信公众号</w:t>
      </w:r>
      <w:r>
        <w:rPr>
          <w:rFonts w:hint="eastAsia" w:ascii="仿宋_GB2312" w:hAnsi="宋体" w:eastAsia="仿宋_GB2312"/>
          <w:sz w:val="28"/>
          <w:szCs w:val="28"/>
          <w:u w:val="none"/>
          <w:lang w:eastAsia="zh-CN"/>
        </w:rPr>
        <w:t>、</w:t>
      </w:r>
      <w:r>
        <w:rPr>
          <w:rFonts w:hint="eastAsia" w:ascii="仿宋_GB2312" w:hAnsi="宋体" w:eastAsia="仿宋_GB2312"/>
          <w:sz w:val="28"/>
          <w:szCs w:val="28"/>
          <w:u w:val="none"/>
          <w:lang w:val="en-US" w:eastAsia="zh-CN"/>
        </w:rPr>
        <w:t>广西南博国际会展有限责任公司微信公众号或会展时空APP</w:t>
      </w:r>
      <w:r>
        <w:rPr>
          <w:rFonts w:hint="eastAsia" w:ascii="仿宋_GB2312" w:hAnsi="宋体" w:eastAsia="仿宋_GB2312"/>
          <w:sz w:val="28"/>
          <w:szCs w:val="28"/>
          <w:u w:val="none"/>
        </w:rPr>
        <w:t>下载</w:t>
      </w:r>
      <w:r>
        <w:rPr>
          <w:rFonts w:hint="eastAsia" w:ascii="仿宋_GB2312" w:hAnsi="宋体" w:eastAsia="仿宋_GB2312"/>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五、响应文件递交时间和地点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响应文件必须以密封形式于2021年12月5日16时00分前在广西南博国际会展有限责任公司（广西南宁市青秀区会展路18号会展大厦12楼）递交，逾期不受理。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六、磋商时间和地点</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谈    间：20</w:t>
      </w:r>
      <w:r>
        <w:rPr>
          <w:rFonts w:hint="eastAsia" w:ascii="仿宋_GB2312" w:hAnsi="宋体" w:eastAsia="仿宋_GB2312"/>
          <w:color w:val="000000"/>
          <w:sz w:val="28"/>
          <w:szCs w:val="28"/>
          <w:lang w:val="en-US" w:eastAsia="zh-CN"/>
        </w:rPr>
        <w:t>21</w:t>
      </w:r>
      <w:r>
        <w:rPr>
          <w:rFonts w:hint="eastAsia" w:ascii="仿宋_GB2312" w:hAnsi="宋体" w:eastAsia="仿宋_GB2312"/>
          <w:color w:val="000000"/>
          <w:sz w:val="28"/>
          <w:szCs w:val="28"/>
        </w:rPr>
        <w:t xml:space="preserve">年 </w:t>
      </w: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日</w:t>
      </w:r>
      <w:r>
        <w:rPr>
          <w:rFonts w:hint="eastAsia" w:ascii="仿宋_GB2312" w:hAnsi="宋体" w:eastAsia="仿宋_GB2312"/>
          <w:color w:val="000000"/>
          <w:sz w:val="28"/>
          <w:szCs w:val="28"/>
          <w:lang w:val="en-US" w:eastAsia="zh-CN"/>
        </w:rPr>
        <w:t>上午11时00分</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点：广西</w:t>
      </w:r>
      <w:r>
        <w:rPr>
          <w:rFonts w:hint="eastAsia" w:ascii="仿宋_GB2312" w:hAnsi="宋体" w:eastAsia="仿宋_GB2312"/>
          <w:color w:val="000000"/>
          <w:sz w:val="28"/>
          <w:szCs w:val="28"/>
          <w:lang w:val="en-US" w:eastAsia="zh-CN"/>
        </w:rPr>
        <w:t>南博</w:t>
      </w:r>
      <w:r>
        <w:rPr>
          <w:rFonts w:hint="eastAsia" w:ascii="仿宋_GB2312" w:hAnsi="宋体" w:eastAsia="仿宋_GB2312"/>
          <w:color w:val="000000"/>
          <w:sz w:val="28"/>
          <w:szCs w:val="28"/>
        </w:rPr>
        <w:t>国际会展有限</w:t>
      </w:r>
      <w:r>
        <w:rPr>
          <w:rFonts w:hint="eastAsia" w:ascii="仿宋_GB2312" w:hAnsi="宋体" w:eastAsia="仿宋_GB2312"/>
          <w:color w:val="000000"/>
          <w:sz w:val="28"/>
          <w:szCs w:val="28"/>
          <w:lang w:val="en-US" w:eastAsia="zh-CN"/>
        </w:rPr>
        <w:t>责任</w:t>
      </w:r>
      <w:r>
        <w:rPr>
          <w:rFonts w:hint="eastAsia" w:ascii="仿宋_GB2312" w:hAnsi="宋体" w:eastAsia="仿宋_GB2312"/>
          <w:color w:val="000000"/>
          <w:sz w:val="28"/>
          <w:szCs w:val="28"/>
        </w:rPr>
        <w:t>公司</w:t>
      </w:r>
    </w:p>
    <w:p>
      <w:pPr>
        <w:keepNext w:val="0"/>
        <w:keepLines w:val="0"/>
        <w:pageBreakBefore w:val="0"/>
        <w:widowControl w:val="0"/>
        <w:kinsoku/>
        <w:wordWrap/>
        <w:overflowPunct/>
        <w:topLinePunct w:val="0"/>
        <w:autoSpaceDE/>
        <w:autoSpaceDN/>
        <w:bidi w:val="0"/>
        <w:adjustRightInd/>
        <w:snapToGrid/>
        <w:spacing w:line="360" w:lineRule="exact"/>
        <w:ind w:left="1117" w:leftChars="532" w:firstLine="0" w:firstLineChars="0"/>
        <w:contextualSpacing/>
        <w:jc w:val="left"/>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南宁市青秀区会展路18号会展大厦1</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七</w:t>
      </w:r>
      <w:r>
        <w:rPr>
          <w:rFonts w:hint="eastAsia" w:ascii="仿宋_GB2312" w:hAnsi="宋体" w:eastAsia="仿宋_GB2312"/>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单位名称：广西</w:t>
      </w:r>
      <w:r>
        <w:rPr>
          <w:rFonts w:hint="eastAsia" w:ascii="仿宋_GB2312" w:hAnsi="宋体" w:eastAsia="仿宋_GB2312"/>
          <w:color w:val="000000"/>
          <w:sz w:val="28"/>
          <w:szCs w:val="28"/>
          <w:lang w:val="en-US" w:eastAsia="zh-CN"/>
        </w:rPr>
        <w:t>南博</w:t>
      </w:r>
      <w:r>
        <w:rPr>
          <w:rFonts w:hint="eastAsia" w:ascii="仿宋_GB2312" w:hAnsi="宋体" w:eastAsia="仿宋_GB2312"/>
          <w:color w:val="000000"/>
          <w:sz w:val="28"/>
          <w:szCs w:val="28"/>
        </w:rPr>
        <w:t>国际会展有限</w:t>
      </w:r>
      <w:r>
        <w:rPr>
          <w:rFonts w:hint="eastAsia" w:ascii="仿宋_GB2312" w:hAnsi="宋体" w:eastAsia="仿宋_GB2312"/>
          <w:color w:val="000000"/>
          <w:sz w:val="28"/>
          <w:szCs w:val="28"/>
          <w:lang w:val="en-US" w:eastAsia="zh-CN"/>
        </w:rPr>
        <w:t>责任</w:t>
      </w:r>
      <w:r>
        <w:rPr>
          <w:rFonts w:hint="eastAsia" w:ascii="仿宋_GB2312" w:hAnsi="宋体" w:eastAsia="仿宋_GB2312"/>
          <w:color w:val="000000"/>
          <w:sz w:val="28"/>
          <w:szCs w:val="28"/>
        </w:rPr>
        <w:t>公司</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址：南宁市青秀区会展路18号会展大厦1</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邮    编：532203</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联 系 人</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蒋济成</w:t>
      </w:r>
      <w:r>
        <w:rPr>
          <w:rFonts w:hint="eastAsia" w:ascii="仿宋_GB2312" w:hAnsi="宋体" w:eastAsia="仿宋_GB2312"/>
          <w:color w:val="000000" w:themeColor="text1"/>
          <w:sz w:val="28"/>
          <w:szCs w:val="28"/>
          <w14:textFill>
            <w14:solidFill>
              <w14:schemeClr w14:val="tx1"/>
            </w14:solidFill>
          </w14:textFill>
        </w:rPr>
        <w:t>，0771-221</w:t>
      </w:r>
      <w:r>
        <w:rPr>
          <w:rFonts w:hint="eastAsia" w:ascii="仿宋_GB2312" w:hAnsi="宋体" w:eastAsia="仿宋_GB2312"/>
          <w:color w:val="000000" w:themeColor="text1"/>
          <w:sz w:val="28"/>
          <w:szCs w:val="28"/>
          <w:lang w:val="en-US" w:eastAsia="zh-CN"/>
          <w14:textFill>
            <w14:solidFill>
              <w14:schemeClr w14:val="tx1"/>
            </w14:solidFill>
          </w14:textFill>
        </w:rPr>
        <w:t>2647</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本项目磋商时间、地点及联系方式如有变更，将以电话形式另行告知；其它内容如有变更，将以书面形式另行告知。</w:t>
      </w: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0" w:firstLineChars="0"/>
        <w:contextualSpacing/>
        <w:jc w:val="left"/>
        <w:textAlignment w:val="auto"/>
        <w:rPr>
          <w:rFonts w:hint="eastAsia" w:ascii="仿宋_GB2312" w:hAnsi="宋体" w:eastAsia="仿宋_GB2312"/>
          <w:color w:val="000000"/>
          <w:sz w:val="28"/>
          <w:szCs w:val="28"/>
        </w:rPr>
      </w:pPr>
    </w:p>
    <w:p>
      <w:pPr>
        <w:keepNext w:val="0"/>
        <w:keepLines w:val="0"/>
        <w:pageBreakBefore w:val="0"/>
        <w:widowControl w:val="0"/>
        <w:tabs>
          <w:tab w:val="left" w:pos="632"/>
        </w:tabs>
        <w:kinsoku/>
        <w:wordWrap/>
        <w:overflowPunct/>
        <w:topLinePunct w:val="0"/>
        <w:autoSpaceDE/>
        <w:autoSpaceDN/>
        <w:bidi w:val="0"/>
        <w:adjustRightInd/>
        <w:snapToGrid/>
        <w:spacing w:line="360" w:lineRule="exact"/>
        <w:ind w:firstLine="4760" w:firstLineChars="1700"/>
        <w:jc w:val="both"/>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广西南博国际会展有限责任公司</w:t>
      </w:r>
    </w:p>
    <w:p>
      <w:pPr>
        <w:tabs>
          <w:tab w:val="left" w:pos="632"/>
        </w:tabs>
        <w:spacing w:line="360" w:lineRule="exact"/>
        <w:jc w:val="center"/>
        <w:rPr>
          <w:rFonts w:hint="eastAsia" w:ascii="仿宋_GB2312" w:hAnsi="仿宋_GB2312" w:eastAsia="仿宋_GB2312" w:cs="仿宋_GB2312"/>
          <w:b/>
          <w:bCs/>
          <w:color w:val="000000"/>
          <w:sz w:val="32"/>
          <w:szCs w:val="32"/>
        </w:rPr>
      </w:pPr>
      <w:r>
        <w:rPr>
          <w:rFonts w:hint="eastAsia" w:ascii="仿宋_GB2312" w:hAnsi="宋体" w:eastAsia="仿宋_GB2312"/>
          <w:color w:val="000000"/>
          <w:sz w:val="28"/>
          <w:szCs w:val="28"/>
        </w:rPr>
        <w:t xml:space="preserve">                               20</w:t>
      </w:r>
      <w:r>
        <w:rPr>
          <w:rFonts w:hint="eastAsia" w:ascii="仿宋_GB2312" w:hAnsi="宋体" w:eastAsia="仿宋_GB2312"/>
          <w:color w:val="000000"/>
          <w:sz w:val="28"/>
          <w:szCs w:val="28"/>
          <w:lang w:val="en-US" w:eastAsia="zh-CN"/>
        </w:rPr>
        <w:t>21</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11</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30</w:t>
      </w:r>
      <w:r>
        <w:rPr>
          <w:rFonts w:hint="eastAsia" w:ascii="仿宋_GB2312" w:hAnsi="宋体" w:eastAsia="仿宋_GB2312"/>
          <w:color w:val="000000"/>
          <w:sz w:val="28"/>
          <w:szCs w:val="28"/>
        </w:rPr>
        <w:t>日</w:t>
      </w:r>
    </w:p>
    <w:p>
      <w:pPr>
        <w:tabs>
          <w:tab w:val="left" w:pos="632"/>
        </w:tabs>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Lines="25" w:afterLines="25" w:line="440" w:lineRule="exact"/>
        <w:ind w:right="-105" w:rightChars="-50"/>
        <w:jc w:val="center"/>
        <w:rPr>
          <w:rFonts w:ascii="仿宋_GB2312"/>
          <w:b/>
          <w:bCs/>
          <w:color w:val="000000"/>
          <w:sz w:val="28"/>
          <w:szCs w:val="28"/>
        </w:rPr>
      </w:pPr>
      <w:r>
        <w:rPr>
          <w:rFonts w:hint="eastAsia" w:ascii="仿宋_GB2312"/>
          <w:b/>
          <w:bCs/>
          <w:color w:val="000000"/>
          <w:sz w:val="28"/>
          <w:szCs w:val="28"/>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8"/>
                <w:szCs w:val="28"/>
                <w:u w:val="none"/>
                <w:lang w:val="en-US" w:eastAsia="zh-CN"/>
              </w:rPr>
              <w:t>会展城商业中心VI及标识设计更换等施工一体化服务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hAnsiTheme="minorEastAsia" w:cstheme="minorEastAsia"/>
                <w:color w:val="auto"/>
                <w:sz w:val="24"/>
                <w:lang w:eastAsia="zh-CN"/>
              </w:rPr>
            </w:pPr>
            <w:r>
              <w:rPr>
                <w:rFonts w:hint="eastAsia" w:eastAsia="仿宋_GB2312"/>
                <w:color w:val="auto"/>
                <w:szCs w:val="21"/>
                <w:lang w:val="en-US" w:eastAsia="zh-CN"/>
              </w:rPr>
              <w:t>37</w:t>
            </w:r>
            <w:r>
              <w:rPr>
                <w:rFonts w:hint="eastAsia" w:eastAsia="仿宋_GB2312"/>
                <w:color w:val="auto"/>
                <w:szCs w:val="21"/>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eastAsia="仿宋_GB2312" w:hAnsiTheme="minorEastAsia" w:cstheme="minorEastAsia"/>
                <w:sz w:val="24"/>
                <w:lang w:val="en-US" w:eastAsia="zh-CN"/>
              </w:rPr>
              <w:t>南宁会展城F、G区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auto"/>
                <w:sz w:val="24"/>
              </w:rPr>
            </w:pPr>
            <w:r>
              <w:rPr>
                <w:rFonts w:hint="eastAsia" w:ascii="仿宋_GB2312" w:hAnsi="宋体" w:eastAsia="仿宋_GB2312"/>
                <w:color w:val="auto"/>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auto"/>
                <w:sz w:val="24"/>
              </w:rPr>
            </w:pPr>
            <w:r>
              <w:rPr>
                <w:rFonts w:hint="eastAsia" w:ascii="仿宋_GB2312" w:hAnsi="宋体" w:eastAsia="仿宋_GB2312"/>
                <w:color w:val="auto"/>
                <w:sz w:val="24"/>
              </w:rPr>
              <w:t>综合单价</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包工包料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val="en-US" w:eastAsia="zh-CN"/>
                <w14:textFill>
                  <w14:solidFill>
                    <w14:schemeClr w14:val="tx1"/>
                  </w14:solidFill>
                </w14:textFill>
              </w:rPr>
              <w:t>服务</w:t>
            </w:r>
            <w:r>
              <w:rPr>
                <w:rFonts w:hint="eastAsia" w:ascii="仿宋_GB2312" w:hAnsi="宋体" w:eastAsia="仿宋_GB2312"/>
                <w:color w:val="000000" w:themeColor="text1"/>
                <w:sz w:val="24"/>
                <w14:textFill>
                  <w14:solidFill>
                    <w14:schemeClr w14:val="tx1"/>
                  </w14:solidFill>
                </w14:textFill>
              </w:rPr>
              <w:t>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w:t>
            </w:r>
            <w:r>
              <w:rPr>
                <w:rFonts w:hint="eastAsia" w:ascii="仿宋_GB2312" w:hAnsi="宋体" w:eastAsia="仿宋_GB2312"/>
                <w:color w:val="000000" w:themeColor="text1"/>
                <w:sz w:val="24"/>
                <w:lang w:val="en-US" w:eastAsia="zh-CN"/>
                <w14:textFill>
                  <w14:solidFill>
                    <w14:schemeClr w14:val="tx1"/>
                  </w14:solidFill>
                </w14:textFill>
              </w:rPr>
              <w:t>21</w:t>
            </w:r>
            <w:r>
              <w:rPr>
                <w:rFonts w:hint="eastAsia" w:ascii="仿宋_GB2312" w:hAnsi="宋体" w:eastAsia="仿宋_GB2312"/>
                <w:color w:val="000000" w:themeColor="text1"/>
                <w:sz w:val="24"/>
                <w14:textFill>
                  <w14:solidFill>
                    <w14:schemeClr w14:val="tx1"/>
                  </w14:solidFill>
                </w14:textFill>
              </w:rPr>
              <w:t>年</w:t>
            </w:r>
            <w:r>
              <w:rPr>
                <w:rFonts w:hint="eastAsia" w:ascii="仿宋_GB2312" w:hAnsi="宋体" w:eastAsia="仿宋_GB2312"/>
                <w:color w:val="000000" w:themeColor="text1"/>
                <w:sz w:val="24"/>
                <w:lang w:val="en-US" w:eastAsia="zh-CN"/>
                <w14:textFill>
                  <w14:solidFill>
                    <w14:schemeClr w14:val="tx1"/>
                  </w14:solidFill>
                </w14:textFill>
              </w:rPr>
              <w:t>12</w:t>
            </w:r>
            <w:r>
              <w:rPr>
                <w:rFonts w:hint="eastAsia" w:ascii="仿宋_GB2312" w:hAnsi="宋体" w:eastAsia="仿宋_GB2312"/>
                <w:color w:val="000000" w:themeColor="text1"/>
                <w:sz w:val="24"/>
                <w14:textFill>
                  <w14:solidFill>
                    <w14:schemeClr w14:val="tx1"/>
                  </w14:solidFill>
                </w14:textFill>
              </w:rPr>
              <w:t>月</w:t>
            </w:r>
            <w:r>
              <w:rPr>
                <w:rFonts w:hint="eastAsia" w:ascii="仿宋_GB2312" w:hAnsi="宋体" w:eastAsia="仿宋_GB2312"/>
                <w:color w:val="000000" w:themeColor="text1"/>
                <w:sz w:val="24"/>
                <w:lang w:val="en-US" w:eastAsia="zh-CN"/>
                <w14:textFill>
                  <w14:solidFill>
                    <w14:schemeClr w14:val="tx1"/>
                  </w14:solidFill>
                </w14:textFill>
              </w:rPr>
              <w:t>25</w:t>
            </w:r>
            <w:r>
              <w:rPr>
                <w:rFonts w:hint="eastAsia" w:ascii="仿宋_GB2312" w:hAnsi="宋体" w:eastAsia="仿宋_GB2312"/>
                <w:color w:val="000000" w:themeColor="text1"/>
                <w:sz w:val="24"/>
                <w14:textFill>
                  <w14:solidFill>
                    <w14:schemeClr w14:val="tx1"/>
                  </w14:solidFill>
                </w14:textFill>
              </w:rPr>
              <w:t>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r>
              <w:rPr>
                <w:rFonts w:ascii="仿宋_GB2312" w:hAnsi="宋体" w:eastAsia="仿宋_GB2312"/>
                <w:color w:val="000000"/>
                <w:sz w:val="24"/>
              </w:rPr>
              <w:t>1、投标人应具有独立法人资格和独立签订合同的权利，应为中华人民共和国境内注册的企业法人；</w:t>
            </w:r>
            <w:r>
              <w:rPr>
                <w:rFonts w:ascii="仿宋_GB2312" w:hAnsi="宋体" w:eastAsia="仿宋_GB2312"/>
                <w:color w:val="000000"/>
                <w:sz w:val="24"/>
              </w:rPr>
              <w:br w:type="textWrapping"/>
            </w:r>
            <w:r>
              <w:rPr>
                <w:rFonts w:hint="eastAsia" w:ascii="仿宋_GB2312" w:hAnsi="宋体" w:eastAsia="仿宋_GB2312"/>
                <w:color w:val="000000"/>
                <w:sz w:val="24"/>
              </w:rPr>
              <w:t>2</w:t>
            </w:r>
            <w:r>
              <w:rPr>
                <w:rFonts w:ascii="仿宋_GB2312" w:hAnsi="宋体" w:eastAsia="仿宋_GB2312"/>
                <w:color w:val="000000"/>
                <w:sz w:val="24"/>
              </w:rPr>
              <w:t>、具有良好的银行资信和商业信誉，没有处于被责令停业，财产被接管、冻结，破产状态</w:t>
            </w:r>
            <w:r>
              <w:rPr>
                <w:rFonts w:hint="eastAsia" w:ascii="仿宋_GB2312" w:hAnsi="宋体" w:eastAsia="仿宋_GB2312"/>
                <w:color w:val="000000"/>
                <w:sz w:val="24"/>
              </w:rPr>
              <w:t>；</w:t>
            </w:r>
          </w:p>
          <w:p>
            <w:pPr>
              <w:rPr>
                <w:rFonts w:ascii="仿宋_GB2312" w:hAnsi="宋体" w:eastAsia="仿宋_GB2312"/>
                <w:color w:val="000000"/>
                <w:sz w:val="24"/>
              </w:rPr>
            </w:pPr>
            <w:r>
              <w:rPr>
                <w:rFonts w:hint="eastAsia" w:ascii="仿宋_GB2312" w:hAnsi="宋体" w:eastAsia="仿宋_GB2312"/>
                <w:color w:val="000000"/>
                <w:sz w:val="24"/>
              </w:rPr>
              <w:t>3、不接受联合体竞谈。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w:t>
            </w:r>
            <w:r>
              <w:rPr>
                <w:rFonts w:hint="eastAsia" w:ascii="仿宋_GB2312" w:hAnsi="宋体" w:eastAsia="仿宋_GB2312"/>
                <w:color w:val="auto"/>
                <w:sz w:val="24"/>
              </w:rPr>
              <w:t>本</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w:t>
            </w:r>
            <w:r>
              <w:rPr>
                <w:rFonts w:hint="eastAsia" w:ascii="仿宋_GB2312" w:hAnsi="宋体" w:eastAsia="仿宋_GB2312"/>
                <w:color w:val="000000"/>
                <w:sz w:val="24"/>
                <w:lang w:val="en-US" w:eastAsia="zh-CN"/>
              </w:rPr>
              <w:t>10</w:t>
            </w:r>
            <w:r>
              <w:rPr>
                <w:rFonts w:hint="eastAsia" w:ascii="仿宋_GB2312" w:hAnsi="宋体" w:eastAsia="仿宋_GB2312"/>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地点：广西</w:t>
            </w:r>
            <w:r>
              <w:rPr>
                <w:rFonts w:hint="eastAsia" w:ascii="仿宋_GB2312" w:hAnsi="宋体" w:eastAsia="仿宋_GB2312"/>
                <w:color w:val="000000"/>
                <w:sz w:val="24"/>
                <w:lang w:val="en-US" w:eastAsia="zh-CN"/>
              </w:rPr>
              <w:t>南博国际会展有限责任</w:t>
            </w:r>
            <w:r>
              <w:rPr>
                <w:rFonts w:hint="eastAsia" w:ascii="仿宋_GB2312" w:hAnsi="宋体" w:eastAsia="仿宋_GB2312"/>
                <w:color w:val="000000"/>
                <w:sz w:val="24"/>
              </w:rPr>
              <w:t>公司</w:t>
            </w:r>
          </w:p>
          <w:p>
            <w:pPr>
              <w:spacing w:line="32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 xml:space="preserve">      南宁市青秀区会展路18号会展大厦</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截止时间: 20</w:t>
            </w:r>
            <w:r>
              <w:rPr>
                <w:rFonts w:hint="eastAsia" w:ascii="仿宋_GB2312" w:hAnsi="宋体" w:eastAsia="仿宋_GB2312"/>
                <w:color w:val="000000"/>
                <w:sz w:val="24"/>
                <w:lang w:val="en-US" w:eastAsia="zh-CN"/>
              </w:rPr>
              <w:t>21</w:t>
            </w:r>
            <w:r>
              <w:rPr>
                <w:rFonts w:hint="eastAsia" w:ascii="仿宋_GB2312" w:hAnsi="宋体" w:eastAsia="仿宋_GB2312"/>
                <w:color w:val="000000"/>
                <w:sz w:val="24"/>
              </w:rPr>
              <w:t xml:space="preserve">年 </w:t>
            </w:r>
            <w:r>
              <w:rPr>
                <w:rFonts w:hint="eastAsia" w:ascii="仿宋_GB2312" w:hAnsi="宋体" w:eastAsia="仿宋_GB2312"/>
                <w:color w:val="000000"/>
                <w:sz w:val="24"/>
                <w:lang w:val="en-US" w:eastAsia="zh-CN"/>
              </w:rPr>
              <w:t>12</w:t>
            </w:r>
            <w:r>
              <w:rPr>
                <w:rFonts w:hint="eastAsia" w:ascii="仿宋_GB2312" w:hAnsi="宋体" w:eastAsia="仿宋_GB2312"/>
                <w:color w:val="000000"/>
                <w:sz w:val="24"/>
              </w:rPr>
              <w:t>月</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日1</w:t>
            </w:r>
            <w:r>
              <w:rPr>
                <w:rFonts w:hint="eastAsia" w:ascii="仿宋_GB2312" w:hAnsi="宋体" w:eastAsia="仿宋_GB2312"/>
                <w:color w:val="000000"/>
                <w:sz w:val="24"/>
                <w:lang w:val="en-US" w:eastAsia="zh-CN"/>
              </w:rPr>
              <w:t>6：0</w:t>
            </w:r>
            <w:r>
              <w:rPr>
                <w:rFonts w:hint="eastAsia" w:ascii="仿宋_GB2312" w:hAnsi="宋体" w:eastAsia="仿宋_GB2312"/>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1年，从双方验收合格之日起算，并留合同总价5%作为质保金，在质保期届满且无遗留问题后支付（不计利息）。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成交承包商须为所有进场施工人员购买工伤保险</w:t>
            </w:r>
          </w:p>
        </w:tc>
      </w:tr>
    </w:tbl>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ascii="仿宋_GB2312" w:hAnsi="宋体" w:eastAsia="仿宋_GB2312"/>
          <w:b/>
          <w:color w:val="000000"/>
          <w:sz w:val="24"/>
        </w:rPr>
      </w:pPr>
    </w:p>
    <w:p>
      <w:pPr>
        <w:spacing w:line="400" w:lineRule="exact"/>
        <w:rPr>
          <w:rFonts w:hint="eastAsia" w:ascii="仿宋_GB2312" w:hAnsi="宋体" w:eastAsia="仿宋_GB2312"/>
          <w:b/>
          <w:color w:val="000000"/>
          <w:sz w:val="24"/>
        </w:rPr>
      </w:pPr>
    </w:p>
    <w:p>
      <w:pPr>
        <w:spacing w:line="400" w:lineRule="exact"/>
        <w:rPr>
          <w:rFonts w:hint="eastAsia" w:ascii="仿宋_GB2312" w:hAnsi="宋体" w:eastAsia="仿宋_GB2312"/>
          <w:b/>
          <w:color w:val="000000"/>
          <w:sz w:val="24"/>
        </w:rPr>
      </w:pPr>
      <w:r>
        <w:rPr>
          <w:rFonts w:hint="eastAsia" w:ascii="仿宋_GB2312" w:hAnsi="宋体" w:eastAsia="仿宋_GB2312"/>
          <w:b/>
          <w:color w:val="000000"/>
          <w:sz w:val="24"/>
        </w:rPr>
        <w:t xml:space="preserve">    </w:t>
      </w:r>
    </w:p>
    <w:p>
      <w:pPr>
        <w:spacing w:line="400" w:lineRule="exact"/>
        <w:rPr>
          <w:rFonts w:hint="eastAsia" w:ascii="仿宋_GB2312" w:hAnsi="宋体" w:eastAsia="仿宋_GB2312"/>
          <w:b/>
          <w:color w:val="000000"/>
          <w:sz w:val="24"/>
        </w:rPr>
      </w:pPr>
    </w:p>
    <w:p>
      <w:pPr>
        <w:spacing w:line="400" w:lineRule="exact"/>
        <w:rPr>
          <w:rFonts w:hint="eastAsia" w:ascii="仿宋_GB2312" w:hAnsi="宋体" w:eastAsia="仿宋_GB2312"/>
          <w:b/>
          <w:color w:val="000000"/>
          <w:sz w:val="24"/>
        </w:rPr>
      </w:pP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Lines="25"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w:t>
      </w:r>
      <w:r>
        <w:rPr>
          <w:rFonts w:hint="eastAsia" w:ascii="仿宋_GB2312" w:hAnsi="宋体" w:eastAsia="仿宋_GB2312"/>
          <w:b/>
          <w:bCs/>
          <w:sz w:val="24"/>
          <w:lang w:eastAsia="zh-CN"/>
        </w:rPr>
        <w:t>项目</w:t>
      </w:r>
      <w:r>
        <w:rPr>
          <w:rFonts w:hint="eastAsia" w:ascii="仿宋_GB2312" w:hAnsi="宋体" w:eastAsia="仿宋_GB2312"/>
          <w:b/>
          <w:bCs/>
          <w:sz w:val="24"/>
        </w:rPr>
        <w:t>说明</w:t>
      </w:r>
    </w:p>
    <w:p>
      <w:pPr>
        <w:snapToGrid w:val="0"/>
        <w:spacing w:line="360" w:lineRule="auto"/>
        <w:jc w:val="left"/>
        <w:rPr>
          <w:rFonts w:hint="eastAsia" w:ascii="仿宋_GB2312" w:eastAsia="仿宋_GB2312" w:hAnsiTheme="minorEastAsia" w:cstheme="minorEastAsia"/>
          <w:sz w:val="24"/>
          <w:lang w:val="en-US" w:eastAsia="zh-CN"/>
        </w:rPr>
      </w:pPr>
      <w:r>
        <w:rPr>
          <w:rFonts w:hint="eastAsia" w:ascii="仿宋_GB2312" w:hAnsi="宋体" w:eastAsia="仿宋_GB2312"/>
          <w:sz w:val="24"/>
        </w:rPr>
        <w:t>1</w:t>
      </w:r>
      <w:r>
        <w:rPr>
          <w:rFonts w:hint="eastAsia" w:ascii="仿宋_GB2312" w:hAnsi="宋体" w:eastAsia="仿宋_GB2312" w:cs="宋体"/>
          <w:kern w:val="0"/>
          <w:sz w:val="24"/>
        </w:rPr>
        <w:t xml:space="preserve">.l </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名称</w:t>
      </w:r>
      <w:r>
        <w:rPr>
          <w:rFonts w:hint="eastAsia" w:ascii="仿宋_GB2312" w:eastAsia="仿宋_GB2312" w:hAnsiTheme="minorEastAsia" w:cstheme="minorEastAsia"/>
          <w:sz w:val="24"/>
          <w:lang w:val="en-US" w:eastAsia="zh-CN"/>
        </w:rPr>
        <w:t>：会展城商业中心VI及标识设计更换等施工一体化服务</w:t>
      </w:r>
    </w:p>
    <w:p>
      <w:pPr>
        <w:snapToGrid w:val="0"/>
        <w:spacing w:line="360" w:lineRule="auto"/>
        <w:jc w:val="left"/>
        <w:rPr>
          <w:rFonts w:hint="eastAsia" w:ascii="仿宋_GB2312" w:eastAsia="仿宋_GB2312" w:hAnsiTheme="minorEastAsia" w:cstheme="minorEastAsia"/>
          <w:sz w:val="24"/>
          <w:lang w:val="en-US" w:eastAsia="zh-CN"/>
        </w:rPr>
      </w:pPr>
      <w:r>
        <w:rPr>
          <w:rFonts w:hint="eastAsia" w:ascii="仿宋_GB2312" w:hAnsi="宋体" w:eastAsia="仿宋_GB2312" w:cs="宋体"/>
          <w:kern w:val="0"/>
          <w:sz w:val="24"/>
        </w:rPr>
        <w:t>1.2</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地点：</w:t>
      </w:r>
      <w:r>
        <w:rPr>
          <w:rFonts w:hint="eastAsia" w:ascii="仿宋_GB2312" w:eastAsia="仿宋_GB2312" w:hAnsiTheme="minorEastAsia" w:cstheme="minorEastAsia"/>
          <w:sz w:val="24"/>
          <w:lang w:val="en-US" w:eastAsia="zh-CN"/>
        </w:rPr>
        <w:t>南宁会展城</w:t>
      </w:r>
      <w:r>
        <w:rPr>
          <w:rFonts w:hint="eastAsia" w:ascii="仿宋_GB2312" w:eastAsia="仿宋_GB2312" w:hAnsiTheme="minorEastAsia" w:cstheme="minorEastAsia"/>
          <w:sz w:val="24"/>
        </w:rPr>
        <w:t>F、G区</w:t>
      </w:r>
    </w:p>
    <w:p>
      <w:pPr>
        <w:snapToGrid w:val="0"/>
        <w:spacing w:line="360" w:lineRule="auto"/>
        <w:jc w:val="left"/>
        <w:rPr>
          <w:rFonts w:hint="eastAsia" w:ascii="仿宋_GB2312" w:hAnsi="宋体" w:eastAsia="仿宋_GB2312"/>
          <w:sz w:val="24"/>
          <w:lang w:val="en-US" w:eastAsia="zh-CN"/>
        </w:rPr>
      </w:pPr>
      <w:r>
        <w:rPr>
          <w:rFonts w:hint="eastAsia" w:ascii="仿宋_GB2312" w:hAnsi="宋体" w:eastAsia="仿宋_GB2312" w:cs="宋体"/>
          <w:kern w:val="0"/>
          <w:sz w:val="24"/>
        </w:rPr>
        <w:t>1.3承包方式：</w:t>
      </w:r>
      <w:r>
        <w:rPr>
          <w:rFonts w:hint="eastAsia" w:ascii="仿宋_GB2312" w:hAnsi="宋体" w:eastAsia="仿宋_GB2312" w:cs="宋体"/>
          <w:kern w:val="0"/>
          <w:sz w:val="24"/>
          <w:lang w:val="en-US" w:eastAsia="zh-CN"/>
        </w:rPr>
        <w:t>设计制作</w:t>
      </w:r>
      <w:r>
        <w:rPr>
          <w:rFonts w:hint="eastAsia" w:ascii="仿宋_GB2312" w:hAnsi="宋体" w:eastAsia="仿宋_GB2312" w:cs="宋体"/>
          <w:kern w:val="0"/>
          <w:sz w:val="24"/>
        </w:rPr>
        <w:t>包工包</w:t>
      </w:r>
      <w:r>
        <w:rPr>
          <w:rFonts w:hint="eastAsia" w:ascii="仿宋_GB2312" w:hAnsi="宋体" w:eastAsia="仿宋_GB2312" w:cs="宋体"/>
          <w:kern w:val="0"/>
          <w:sz w:val="24"/>
          <w:lang w:val="en-US" w:eastAsia="zh-CN"/>
        </w:rPr>
        <w:t>料</w:t>
      </w:r>
    </w:p>
    <w:p>
      <w:pPr>
        <w:adjustRightInd w:val="0"/>
        <w:snapToGrid w:val="0"/>
        <w:spacing w:beforeLines="25" w:afterLines="25" w:line="360" w:lineRule="auto"/>
        <w:ind w:right="17"/>
        <w:rPr>
          <w:rFonts w:hint="eastAsia"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Lines="25" w:afterLines="25" w:line="360" w:lineRule="auto"/>
        <w:ind w:right="17"/>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质</w:t>
      </w:r>
      <w:r>
        <w:rPr>
          <w:rFonts w:hint="eastAsia" w:ascii="仿宋_GB2312" w:hAnsi="宋体" w:eastAsia="仿宋_GB2312" w:cs="宋体"/>
          <w:kern w:val="0"/>
          <w:sz w:val="24"/>
          <w:lang w:eastAsia="zh-CN"/>
        </w:rPr>
        <w:t>保时间</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1年</w:t>
      </w:r>
    </w:p>
    <w:p>
      <w:pPr>
        <w:adjustRightInd w:val="0"/>
        <w:snapToGrid w:val="0"/>
        <w:spacing w:beforeLines="25" w:afterLines="25" w:line="360" w:lineRule="auto"/>
        <w:ind w:left="420" w:leftChars="0" w:right="17" w:hanging="420" w:hangingChars="175"/>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1.6会展城商业中心VI及标识设计更换等施工一体化服务竣工期限：2021年12月25日前</w:t>
      </w:r>
    </w:p>
    <w:p>
      <w:pPr>
        <w:snapToGrid w:val="0"/>
        <w:spacing w:beforeLines="25"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rPr>
          <w:rFonts w:hint="eastAsia" w:ascii="仿宋_GB2312" w:hAnsi="宋体" w:eastAsia="仿宋_GB2312"/>
          <w:color w:val="000000"/>
          <w:sz w:val="24"/>
          <w:lang w:val="en-US" w:eastAsia="zh-CN"/>
        </w:rPr>
      </w:pPr>
      <w:r>
        <w:rPr>
          <w:rFonts w:hint="eastAsia" w:ascii="仿宋_GB2312" w:hAnsi="宋体" w:eastAsia="仿宋_GB2312"/>
          <w:color w:val="000000"/>
          <w:sz w:val="24"/>
        </w:rPr>
        <w:t>2. 竞争性磋商响应文件编制基本要求</w:t>
      </w:r>
      <w:r>
        <w:rPr>
          <w:rFonts w:hint="eastAsia" w:ascii="仿宋_GB2312" w:hAnsi="宋体" w:eastAsia="仿宋_GB2312"/>
          <w:color w:val="000000"/>
          <w:sz w:val="24"/>
          <w:lang w:eastAsia="zh-CN"/>
        </w:rPr>
        <w:t>。</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2.6竞争性磋商响应文件的组成</w:t>
      </w:r>
      <w:r>
        <w:rPr>
          <w:rFonts w:hint="eastAsia" w:ascii="仿宋_GB2312" w:hAnsi="宋体" w:eastAsia="仿宋_GB2312"/>
          <w:color w:val="000000"/>
          <w:sz w:val="24"/>
          <w:lang w:eastAsia="zh-CN"/>
        </w:rPr>
        <w:t>。</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竞争性磋商响应文件应分为商务文件和技术文件两个部分组成。</w:t>
      </w:r>
    </w:p>
    <w:p>
      <w:pPr>
        <w:spacing w:line="400" w:lineRule="exact"/>
        <w:ind w:firstLine="120" w:firstLineChars="50"/>
        <w:rPr>
          <w:rFonts w:hint="default" w:ascii="仿宋_GB2312" w:hAnsi="宋体" w:eastAsia="仿宋_GB2312"/>
          <w:color w:val="000000"/>
          <w:sz w:val="24"/>
          <w:lang w:val="en-US" w:eastAsia="zh-CN"/>
        </w:rPr>
      </w:pPr>
      <w:r>
        <w:rPr>
          <w:rFonts w:hint="eastAsia" w:ascii="仿宋_GB2312" w:hAnsi="宋体" w:eastAsia="仿宋_GB2312"/>
          <w:color w:val="000000"/>
          <w:sz w:val="24"/>
        </w:rPr>
        <w:t>2.6.1商务文件</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必须提供）</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120" w:firstLineChars="50"/>
        <w:rPr>
          <w:rFonts w:hint="eastAsia" w:ascii="仿宋_GB2312" w:hAnsi="宋体" w:eastAsia="仿宋_GB2312"/>
          <w:color w:val="auto"/>
          <w:sz w:val="24"/>
        </w:rPr>
      </w:pPr>
      <w:r>
        <w:rPr>
          <w:rFonts w:hint="eastAsia" w:ascii="仿宋_GB2312" w:hAnsi="宋体" w:eastAsia="仿宋_GB2312"/>
          <w:color w:val="auto"/>
          <w:sz w:val="24"/>
        </w:rPr>
        <w:t>（2）</w:t>
      </w:r>
      <w:r>
        <w:rPr>
          <w:rFonts w:hint="eastAsia" w:ascii="仿宋_GB2312" w:hAnsi="宋体" w:eastAsia="仿宋_GB2312"/>
          <w:color w:val="000000"/>
          <w:sz w:val="24"/>
        </w:rPr>
        <w:t>磋商报价表；（附件二）</w:t>
      </w:r>
    </w:p>
    <w:p>
      <w:pPr>
        <w:spacing w:line="400" w:lineRule="exact"/>
        <w:ind w:left="840" w:hanging="840"/>
        <w:jc w:val="left"/>
        <w:rPr>
          <w:rFonts w:hint="eastAsia" w:ascii="仿宋_GB2312" w:hAnsi="宋体" w:eastAsia="仿宋_GB2312"/>
          <w:color w:val="000000"/>
          <w:sz w:val="24"/>
          <w:lang w:val="en-US" w:eastAsia="zh-CN"/>
        </w:rPr>
      </w:pPr>
      <w:r>
        <w:rPr>
          <w:rFonts w:hint="eastAsia" w:ascii="仿宋_GB2312" w:hAnsi="宋体" w:eastAsia="仿宋_GB2312"/>
          <w:color w:val="000000"/>
          <w:sz w:val="24"/>
        </w:rPr>
        <w:t>2.6.2技术文件</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必须提供）</w:t>
      </w:r>
    </w:p>
    <w:p>
      <w:pPr>
        <w:spacing w:line="400" w:lineRule="exact"/>
        <w:ind w:firstLine="120" w:firstLineChars="50"/>
        <w:rPr>
          <w:rFonts w:hint="eastAsia" w:ascii="仿宋_GB2312" w:hAnsi="宋体" w:eastAsia="仿宋_GB2312"/>
          <w:color w:val="000000"/>
          <w:sz w:val="24"/>
          <w:lang w:eastAsia="zh-CN"/>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）营业</w:t>
      </w:r>
      <w:r>
        <w:rPr>
          <w:rFonts w:hint="eastAsia" w:ascii="仿宋_GB2312" w:hAnsi="宋体" w:eastAsia="仿宋_GB2312"/>
          <w:color w:val="000000"/>
          <w:sz w:val="24"/>
          <w:lang w:val="en-US" w:eastAsia="zh-CN"/>
        </w:rPr>
        <w:t>执照</w:t>
      </w:r>
      <w:r>
        <w:rPr>
          <w:rFonts w:hint="eastAsia" w:ascii="仿宋_GB2312" w:hAnsi="宋体" w:eastAsia="仿宋_GB2312"/>
          <w:color w:val="000000"/>
          <w:sz w:val="24"/>
        </w:rPr>
        <w:t>复印件</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加盖公章）、</w:t>
      </w:r>
      <w:r>
        <w:rPr>
          <w:rFonts w:hint="eastAsia" w:ascii="仿宋_GB2312" w:hAnsi="宋体" w:eastAsia="仿宋_GB2312"/>
          <w:color w:val="000000"/>
          <w:sz w:val="24"/>
        </w:rPr>
        <w:t>法定代表人证明书原件（附法定代表人身份证复印件）</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项目施工人员高空作业证复印件</w:t>
      </w:r>
      <w:r>
        <w:rPr>
          <w:rFonts w:hint="eastAsia" w:ascii="仿宋_GB2312" w:hAnsi="宋体" w:eastAsia="仿宋_GB2312"/>
          <w:color w:val="000000"/>
          <w:sz w:val="24"/>
        </w:rPr>
        <w:t>；（附件</w:t>
      </w:r>
      <w:r>
        <w:rPr>
          <w:rFonts w:hint="eastAsia" w:ascii="仿宋_GB2312" w:hAnsi="宋体" w:eastAsia="仿宋_GB2312"/>
          <w:color w:val="000000"/>
          <w:sz w:val="24"/>
          <w:lang w:eastAsia="zh-CN"/>
        </w:rPr>
        <w:t>三</w:t>
      </w:r>
      <w:r>
        <w:rPr>
          <w:rFonts w:hint="eastAsia" w:ascii="仿宋_GB2312" w:hAnsi="宋体" w:eastAsia="仿宋_GB2312"/>
          <w:color w:val="000000"/>
          <w:sz w:val="24"/>
        </w:rPr>
        <w:t>）</w:t>
      </w:r>
      <w:r>
        <w:rPr>
          <w:rFonts w:hint="eastAsia" w:ascii="仿宋_GB2312" w:hAnsi="宋体" w:eastAsia="仿宋_GB2312"/>
          <w:color w:val="000000"/>
          <w:sz w:val="24"/>
          <w:lang w:eastAsia="zh-CN"/>
        </w:rPr>
        <w:t>。</w:t>
      </w:r>
    </w:p>
    <w:p>
      <w:pPr>
        <w:spacing w:line="400" w:lineRule="exact"/>
        <w:ind w:firstLine="120" w:firstLineChars="50"/>
        <w:rPr>
          <w:rFonts w:hint="eastAsia" w:ascii="仿宋_GB2312" w:hAnsi="宋体" w:eastAsia="仿宋_GB2312"/>
          <w:color w:val="000000"/>
          <w:sz w:val="24"/>
          <w:lang w:eastAsia="zh-CN"/>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）法定代表人授权书原件及被授权代理人身份证复印件（代理人磋商提供）；（附件</w:t>
      </w:r>
      <w:r>
        <w:rPr>
          <w:rFonts w:hint="eastAsia" w:ascii="仿宋_GB2312" w:hAnsi="宋体" w:eastAsia="仿宋_GB2312"/>
          <w:color w:val="000000"/>
          <w:sz w:val="24"/>
          <w:lang w:eastAsia="zh-CN"/>
        </w:rPr>
        <w:t>四</w:t>
      </w:r>
      <w:r>
        <w:rPr>
          <w:rFonts w:hint="eastAsia" w:ascii="仿宋_GB2312" w:hAnsi="宋体" w:eastAsia="仿宋_GB2312"/>
          <w:color w:val="000000"/>
          <w:sz w:val="24"/>
        </w:rPr>
        <w:t>）</w:t>
      </w:r>
      <w:r>
        <w:rPr>
          <w:rFonts w:hint="eastAsia" w:ascii="仿宋_GB2312" w:hAnsi="宋体" w:eastAsia="仿宋_GB2312"/>
          <w:color w:val="000000"/>
          <w:sz w:val="24"/>
          <w:lang w:eastAsia="zh-CN"/>
        </w:rPr>
        <w:t>。</w:t>
      </w:r>
    </w:p>
    <w:p>
      <w:pPr>
        <w:spacing w:line="400" w:lineRule="exact"/>
        <w:ind w:firstLine="120" w:firstLineChars="50"/>
        <w:rPr>
          <w:rFonts w:hint="eastAsia" w:ascii="仿宋_GB2312" w:hAnsi="宋体" w:eastAsia="仿宋_GB2312"/>
          <w:color w:val="000000"/>
          <w:sz w:val="24"/>
          <w:lang w:eastAsia="zh-CN"/>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）廉洁承诺书；（附件</w:t>
      </w:r>
      <w:r>
        <w:rPr>
          <w:rFonts w:hint="eastAsia" w:ascii="仿宋_GB2312" w:hAnsi="宋体" w:eastAsia="仿宋_GB2312"/>
          <w:color w:val="000000"/>
          <w:sz w:val="24"/>
          <w:lang w:eastAsia="zh-CN"/>
        </w:rPr>
        <w:t>五</w:t>
      </w:r>
      <w:r>
        <w:rPr>
          <w:rFonts w:hint="eastAsia" w:ascii="仿宋_GB2312" w:hAnsi="宋体" w:eastAsia="仿宋_GB2312"/>
          <w:color w:val="000000"/>
          <w:sz w:val="24"/>
        </w:rPr>
        <w:t>）</w:t>
      </w:r>
      <w:r>
        <w:rPr>
          <w:rFonts w:hint="eastAsia" w:ascii="仿宋_GB2312" w:hAnsi="宋体" w:eastAsia="仿宋_GB2312"/>
          <w:color w:val="000000"/>
          <w:sz w:val="24"/>
          <w:lang w:eastAsia="zh-CN"/>
        </w:rPr>
        <w:t>。</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eastAsia="仿宋_GB2312"/>
          <w:sz w:val="24"/>
        </w:rPr>
        <w:t>设计方案文字稿及设计效果图</w:t>
      </w:r>
      <w:r>
        <w:rPr>
          <w:rFonts w:hint="eastAsia" w:eastAsia="仿宋_GB2312"/>
          <w:sz w:val="24"/>
          <w:lang w:eastAsia="zh-CN"/>
        </w:rPr>
        <w:t>；（</w:t>
      </w:r>
      <w:r>
        <w:rPr>
          <w:rFonts w:hint="eastAsia" w:eastAsia="仿宋_GB2312"/>
          <w:sz w:val="24"/>
          <w:lang w:val="en-US" w:eastAsia="zh-CN"/>
        </w:rPr>
        <w:t>附件六）</w:t>
      </w:r>
      <w:r>
        <w:rPr>
          <w:rFonts w:hint="eastAsia" w:ascii="仿宋_GB2312" w:hAnsi="宋体" w:eastAsia="仿宋_GB2312"/>
          <w:color w:val="000000"/>
          <w:sz w:val="24"/>
        </w:rPr>
        <w:t>。</w:t>
      </w:r>
    </w:p>
    <w:p>
      <w:pPr>
        <w:spacing w:line="400" w:lineRule="exact"/>
        <w:ind w:firstLine="120" w:firstLineChars="50"/>
        <w:rPr>
          <w:rFonts w:hint="eastAsia" w:ascii="仿宋_GB2312" w:hAnsi="宋体" w:eastAsia="仿宋_GB2312"/>
          <w:color w:val="000000"/>
          <w:sz w:val="24"/>
          <w:lang w:val="en-US" w:eastAsia="zh-CN"/>
        </w:rPr>
      </w:pP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5）项目执行方案；（附件七）。</w:t>
      </w:r>
    </w:p>
    <w:p>
      <w:pPr>
        <w:spacing w:line="400" w:lineRule="exact"/>
        <w:ind w:firstLine="120" w:firstLineChars="50"/>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（6）相关案例及业绩；（附件八）。</w:t>
      </w:r>
    </w:p>
    <w:p>
      <w:pPr>
        <w:spacing w:line="40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3. 计量单位</w:t>
      </w:r>
      <w:r>
        <w:rPr>
          <w:rFonts w:hint="eastAsia" w:ascii="仿宋_GB2312" w:hAnsi="宋体" w:eastAsia="仿宋_GB2312"/>
          <w:color w:val="000000"/>
          <w:sz w:val="24"/>
          <w:lang w:eastAsia="zh-CN"/>
        </w:rPr>
        <w:t>。</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3.1除技术要求中另有规定外，本文件所要求使用的计量单位均应采用国家法定计量单位。</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4.1 承包方报价须按照本文件所列的</w:t>
      </w:r>
      <w:r>
        <w:rPr>
          <w:rFonts w:hint="eastAsia" w:ascii="仿宋_GB2312" w:hAnsi="宋体" w:eastAsia="仿宋_GB2312"/>
          <w:color w:val="000000"/>
          <w:sz w:val="24"/>
          <w:lang w:val="en-US" w:eastAsia="zh-CN"/>
        </w:rPr>
        <w:t>工作</w:t>
      </w:r>
      <w:r>
        <w:rPr>
          <w:rFonts w:hint="eastAsia" w:ascii="仿宋_GB2312" w:hAnsi="宋体" w:eastAsia="仿宋_GB2312"/>
          <w:color w:val="000000"/>
          <w:sz w:val="24"/>
        </w:rPr>
        <w:t xml:space="preserve">量清单，本文件未列明的清单项，承包方可根据踏勘现场实际情况列入报价清单，如结算时未发生的将不予以计算。 </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420" w:hanging="420"/>
        <w:rPr>
          <w:rFonts w:hint="eastAsia" w:ascii="仿宋_GB2312" w:hAnsi="宋体" w:eastAsia="仿宋_GB2312"/>
          <w:color w:val="000000"/>
          <w:sz w:val="24"/>
          <w:lang w:eastAsia="zh-CN"/>
        </w:rPr>
      </w:pPr>
      <w:r>
        <w:rPr>
          <w:rFonts w:hint="eastAsia" w:ascii="仿宋_GB2312" w:hAnsi="宋体" w:eastAsia="仿宋_GB2312"/>
          <w:color w:val="000000"/>
          <w:sz w:val="24"/>
        </w:rPr>
        <w:t>5. 磋商响应文件的份数和封装</w:t>
      </w:r>
      <w:r>
        <w:rPr>
          <w:rFonts w:hint="eastAsia" w:ascii="仿宋_GB2312" w:hAnsi="宋体" w:eastAsia="仿宋_GB2312"/>
          <w:color w:val="000000"/>
          <w:sz w:val="24"/>
          <w:lang w:eastAsia="zh-CN"/>
        </w:rPr>
        <w:t>。</w:t>
      </w:r>
    </w:p>
    <w:p>
      <w:pPr>
        <w:spacing w:line="400" w:lineRule="exact"/>
        <w:ind w:left="420" w:hanging="420"/>
        <w:rPr>
          <w:rFonts w:hint="eastAsia" w:ascii="仿宋_GB2312" w:hAnsi="宋体" w:eastAsia="仿宋_GB2312"/>
          <w:color w:val="000000"/>
          <w:sz w:val="24"/>
          <w:u w:val="single"/>
          <w:lang w:eastAsia="zh-CN"/>
        </w:rPr>
      </w:pPr>
      <w:r>
        <w:rPr>
          <w:rFonts w:hint="eastAsia" w:ascii="仿宋_GB2312" w:hAnsi="宋体" w:eastAsia="仿宋_GB2312"/>
          <w:color w:val="000000"/>
          <w:sz w:val="24"/>
        </w:rPr>
        <w:t>5.1磋商供应商应将竞争性磋商响应文件递交</w:t>
      </w:r>
      <w:r>
        <w:rPr>
          <w:rFonts w:hint="eastAsia" w:ascii="仿宋_GB2312" w:hAnsi="宋体" w:eastAsia="仿宋_GB2312"/>
          <w:color w:val="000000"/>
          <w:sz w:val="24"/>
          <w:u w:val="single"/>
        </w:rPr>
        <w:t>广西</w:t>
      </w:r>
      <w:r>
        <w:rPr>
          <w:rFonts w:hint="eastAsia" w:ascii="仿宋_GB2312" w:hAnsi="宋体" w:eastAsia="仿宋_GB2312"/>
          <w:color w:val="000000"/>
          <w:sz w:val="24"/>
          <w:u w:val="single"/>
          <w:lang w:val="en-US" w:eastAsia="zh-CN"/>
        </w:rPr>
        <w:t>南博国际会展有限责任</w:t>
      </w:r>
      <w:r>
        <w:rPr>
          <w:rFonts w:hint="eastAsia" w:ascii="仿宋_GB2312" w:hAnsi="宋体" w:eastAsia="仿宋_GB2312"/>
          <w:color w:val="000000"/>
          <w:sz w:val="24"/>
          <w:u w:val="single"/>
        </w:rPr>
        <w:t>公司</w:t>
      </w:r>
      <w:r>
        <w:rPr>
          <w:rFonts w:hint="eastAsia" w:ascii="仿宋_GB2312" w:hAnsi="宋体" w:eastAsia="仿宋_GB2312"/>
          <w:color w:val="000000"/>
          <w:sz w:val="24"/>
          <w:u w:val="single"/>
          <w:lang w:eastAsia="zh-CN"/>
        </w:rPr>
        <w:t>。</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5.2竞争性磋商响应文件的信封上应写明：</w:t>
      </w:r>
    </w:p>
    <w:p>
      <w:pPr>
        <w:spacing w:line="400" w:lineRule="exact"/>
        <w:ind w:left="420"/>
        <w:rPr>
          <w:rFonts w:hint="eastAsia" w:ascii="仿宋_GB2312" w:hAnsi="宋体" w:eastAsia="仿宋_GB2312"/>
          <w:color w:val="000000"/>
          <w:sz w:val="24"/>
          <w:lang w:eastAsia="zh-CN"/>
        </w:rPr>
      </w:pPr>
      <w:r>
        <w:rPr>
          <w:rFonts w:hint="eastAsia" w:ascii="仿宋_GB2312" w:hAnsi="宋体" w:eastAsia="仿宋_GB2312"/>
          <w:color w:val="000000"/>
          <w:sz w:val="24"/>
        </w:rPr>
        <w:t>1）竞争性磋商项目名称</w:t>
      </w:r>
      <w:r>
        <w:rPr>
          <w:rFonts w:hint="eastAsia" w:ascii="仿宋_GB2312" w:hAnsi="宋体" w:eastAsia="仿宋_GB2312"/>
          <w:color w:val="000000"/>
          <w:sz w:val="24"/>
          <w:lang w:eastAsia="zh-CN"/>
        </w:rPr>
        <w:t>。</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6. 竞争性磋商响应文件的递交</w:t>
      </w:r>
    </w:p>
    <w:p>
      <w:pPr>
        <w:spacing w:line="400" w:lineRule="exact"/>
        <w:ind w:left="420" w:hanging="420"/>
        <w:rPr>
          <w:rFonts w:hint="eastAsia" w:ascii="仿宋_GB2312" w:hAnsi="宋体" w:eastAsia="仿宋_GB2312"/>
          <w:color w:val="000000"/>
          <w:sz w:val="24"/>
          <w:u w:val="single"/>
          <w:lang w:eastAsia="zh-CN"/>
        </w:rPr>
      </w:pPr>
      <w:r>
        <w:rPr>
          <w:rFonts w:hint="eastAsia" w:ascii="仿宋_GB2312" w:hAnsi="宋体" w:eastAsia="仿宋_GB2312"/>
          <w:color w:val="000000"/>
          <w:sz w:val="24"/>
        </w:rPr>
        <w:t>6.1所有竞争性磋商响应文件应于“第一章 磋商邀请函”中规定的时间递交</w:t>
      </w:r>
      <w:r>
        <w:rPr>
          <w:rFonts w:hint="eastAsia" w:ascii="仿宋_GB2312" w:hAnsi="宋体" w:eastAsia="仿宋_GB2312"/>
          <w:color w:val="000000"/>
          <w:sz w:val="24"/>
          <w:u w:val="single"/>
        </w:rPr>
        <w:t>广西</w:t>
      </w:r>
      <w:r>
        <w:rPr>
          <w:rFonts w:hint="eastAsia" w:ascii="仿宋_GB2312" w:hAnsi="宋体" w:eastAsia="仿宋_GB2312"/>
          <w:color w:val="000000"/>
          <w:sz w:val="24"/>
          <w:u w:val="single"/>
          <w:lang w:val="en-US" w:eastAsia="zh-CN"/>
        </w:rPr>
        <w:t>南博国际会展有限责任</w:t>
      </w:r>
      <w:r>
        <w:rPr>
          <w:rFonts w:hint="eastAsia" w:ascii="仿宋_GB2312" w:hAnsi="宋体" w:eastAsia="仿宋_GB2312"/>
          <w:color w:val="000000"/>
          <w:sz w:val="24"/>
          <w:u w:val="single"/>
        </w:rPr>
        <w:t>公司</w:t>
      </w:r>
      <w:r>
        <w:rPr>
          <w:rFonts w:hint="eastAsia" w:ascii="仿宋_GB2312" w:hAnsi="宋体" w:eastAsia="仿宋_GB2312"/>
          <w:color w:val="000000"/>
          <w:sz w:val="24"/>
          <w:u w:val="single"/>
          <w:lang w:eastAsia="zh-CN"/>
        </w:rPr>
        <w:t>。</w:t>
      </w:r>
    </w:p>
    <w:p>
      <w:pPr>
        <w:spacing w:line="400" w:lineRule="exact"/>
        <w:ind w:left="420" w:hanging="420"/>
        <w:rPr>
          <w:rFonts w:hint="eastAsia" w:ascii="仿宋_GB2312" w:hAnsi="宋体" w:eastAsia="仿宋_GB2312"/>
          <w:color w:val="000000"/>
          <w:sz w:val="24"/>
          <w:lang w:eastAsia="zh-CN"/>
        </w:rPr>
      </w:pPr>
      <w:r>
        <w:rPr>
          <w:rFonts w:hint="eastAsia" w:ascii="仿宋_GB2312" w:hAnsi="宋体" w:eastAsia="仿宋_GB2312"/>
          <w:color w:val="000000"/>
          <w:sz w:val="24"/>
        </w:rPr>
        <w:t>7.迟交的竞争性磋商响应文件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发包人将拒绝或原封退回在其规定的递交竞争性磋商响应文件截止时间之后收到的任何竞争性磋商响应文件。</w:t>
      </w:r>
    </w:p>
    <w:p>
      <w:pPr>
        <w:spacing w:line="400" w:lineRule="exact"/>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420" w:hanging="420"/>
        <w:rPr>
          <w:rFonts w:hint="eastAsia" w:ascii="仿宋_GB2312" w:hAnsi="宋体" w:eastAsia="仿宋_GB2312"/>
          <w:color w:val="000000"/>
          <w:sz w:val="24"/>
          <w:lang w:eastAsia="zh-CN"/>
        </w:rPr>
      </w:pPr>
      <w:r>
        <w:rPr>
          <w:rFonts w:hint="eastAsia" w:ascii="仿宋_GB2312" w:hAnsi="宋体" w:eastAsia="仿宋_GB2312"/>
          <w:color w:val="000000"/>
          <w:sz w:val="24"/>
        </w:rPr>
        <w:t>8.1 开标</w:t>
      </w:r>
      <w:r>
        <w:rPr>
          <w:rFonts w:hint="eastAsia" w:ascii="仿宋_GB2312" w:hAnsi="宋体" w:eastAsia="仿宋_GB2312"/>
          <w:color w:val="000000"/>
          <w:sz w:val="24"/>
          <w:lang w:eastAsia="zh-CN"/>
        </w:rPr>
        <w:t>。</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发包人按第一章“竞争性磋商邀请书”中约定的磋商时间及地点组织参与磋商的承包商召开开标会议，对本次磋商事项进行简要说明，并当众拆封磋商响应文件，审查供应商的相关资质。</w:t>
      </w:r>
    </w:p>
    <w:p>
      <w:pPr>
        <w:spacing w:line="400" w:lineRule="exact"/>
        <w:ind w:left="420" w:hanging="420"/>
        <w:jc w:val="left"/>
        <w:rPr>
          <w:rFonts w:hint="eastAsia" w:ascii="仿宋_GB2312" w:hAnsi="宋体" w:eastAsia="仿宋_GB2312"/>
          <w:color w:val="000000"/>
          <w:sz w:val="24"/>
          <w:lang w:eastAsia="zh-CN"/>
        </w:rPr>
      </w:pPr>
      <w:r>
        <w:rPr>
          <w:rFonts w:hint="eastAsia" w:ascii="仿宋_GB2312" w:hAnsi="宋体" w:eastAsia="仿宋_GB2312"/>
          <w:color w:val="000000"/>
          <w:sz w:val="24"/>
        </w:rPr>
        <w:t>8.2磋商</w:t>
      </w:r>
      <w:r>
        <w:rPr>
          <w:rFonts w:hint="eastAsia" w:ascii="仿宋_GB2312" w:hAnsi="宋体" w:eastAsia="仿宋_GB2312"/>
          <w:color w:val="000000"/>
          <w:sz w:val="24"/>
          <w:lang w:eastAsia="zh-CN"/>
        </w:rPr>
        <w:t>。</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发包人成立磋商小组，按承包商的签到顺序与单一承包商分别就符合</w:t>
      </w:r>
      <w:r>
        <w:rPr>
          <w:rFonts w:hint="eastAsia" w:ascii="仿宋_GB2312" w:hAnsi="宋体" w:eastAsia="仿宋_GB2312"/>
          <w:color w:val="000000"/>
          <w:sz w:val="24"/>
          <w:u w:val="single"/>
          <w:lang w:val="en-US" w:eastAsia="zh-CN"/>
        </w:rPr>
        <w:t>会展城商业中心VI及标识设计更换等施工一体化服务</w:t>
      </w:r>
      <w:r>
        <w:rPr>
          <w:rFonts w:hint="eastAsia" w:ascii="仿宋_GB2312" w:hAnsi="宋体" w:eastAsia="仿宋_GB2312"/>
          <w:color w:val="000000"/>
          <w:sz w:val="24"/>
          <w:u w:val="single"/>
        </w:rPr>
        <w:t>项目</w:t>
      </w:r>
      <w:r>
        <w:rPr>
          <w:rFonts w:hint="eastAsia" w:ascii="仿宋_GB2312" w:hAnsi="宋体" w:eastAsia="仿宋_GB2312"/>
          <w:color w:val="000000"/>
          <w:sz w:val="24"/>
        </w:rPr>
        <w:t>等内</w:t>
      </w:r>
      <w:r>
        <w:rPr>
          <w:rFonts w:hint="eastAsia" w:ascii="仿宋_GB2312" w:hAnsi="宋体" w:eastAsia="仿宋_GB2312" w:cs="宋体"/>
          <w:color w:val="000000"/>
          <w:kern w:val="0"/>
          <w:sz w:val="24"/>
        </w:rPr>
        <w:t>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发包人对磋商过程和重要磋商内容进行记录。</w:t>
      </w:r>
    </w:p>
    <w:p>
      <w:pPr>
        <w:spacing w:line="400" w:lineRule="exact"/>
        <w:jc w:val="left"/>
        <w:rPr>
          <w:rFonts w:hint="eastAsia" w:ascii="仿宋_GB2312" w:hAnsi="宋体" w:eastAsia="仿宋_GB2312"/>
          <w:color w:val="000000"/>
          <w:sz w:val="24"/>
          <w:lang w:eastAsia="zh-CN"/>
        </w:rPr>
      </w:pPr>
      <w:r>
        <w:rPr>
          <w:rFonts w:hint="eastAsia" w:ascii="仿宋_GB2312" w:hAnsi="宋体" w:eastAsia="仿宋_GB2312"/>
          <w:color w:val="000000"/>
          <w:sz w:val="24"/>
        </w:rPr>
        <w:t>8.3最终报价</w:t>
      </w:r>
      <w:r>
        <w:rPr>
          <w:rFonts w:hint="eastAsia" w:ascii="仿宋_GB2312" w:hAnsi="宋体" w:eastAsia="仿宋_GB2312"/>
          <w:color w:val="000000"/>
          <w:sz w:val="24"/>
          <w:lang w:eastAsia="zh-CN"/>
        </w:rPr>
        <w:t>。</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磋商结束后，承包商根据磋商情况当场给出最终报价，磋商双方在磋商结果上签字确认。</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9.1 发包人磋商小组根据符合</w:t>
      </w:r>
      <w:r>
        <w:rPr>
          <w:rFonts w:hint="eastAsia" w:ascii="仿宋_GB2312" w:hAnsi="宋体" w:eastAsia="仿宋_GB2312"/>
          <w:color w:val="000000"/>
          <w:sz w:val="24"/>
          <w:u w:val="single"/>
          <w:lang w:val="en-US" w:eastAsia="zh-CN"/>
        </w:rPr>
        <w:t xml:space="preserve"> 会展城商业中心VI及标识设计更换等施工一体化服务项目</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综合评分法确定成交承包商，并将评标结果按发包人的审批流程报批。</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9.2发包人在评标结果批复后向参与磋商的承包商发送评标结果告知函。</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10.中标承包商在收到中标通知书后，按规定与发包人签订合同。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rPr>
          <w:rFonts w:ascii="宋体" w:hAnsi="宋体"/>
          <w:b/>
          <w:color w:val="000000"/>
          <w:sz w:val="32"/>
          <w:szCs w:val="32"/>
        </w:rPr>
      </w:pPr>
    </w:p>
    <w:p>
      <w:pPr>
        <w:spacing w:line="300" w:lineRule="auto"/>
        <w:rPr>
          <w:rFonts w:ascii="宋体" w:hAnsi="宋体"/>
          <w:b/>
          <w:color w:val="000000"/>
          <w:sz w:val="32"/>
          <w:szCs w:val="32"/>
        </w:rPr>
      </w:pPr>
    </w:p>
    <w:p>
      <w:pPr>
        <w:spacing w:line="300" w:lineRule="auto"/>
        <w:rPr>
          <w:rFonts w:ascii="宋体" w:hAnsi="宋体"/>
          <w:b/>
          <w:color w:val="000000"/>
          <w:sz w:val="32"/>
          <w:szCs w:val="32"/>
        </w:rPr>
      </w:pPr>
    </w:p>
    <w:p>
      <w:pPr>
        <w:spacing w:line="300" w:lineRule="auto"/>
        <w:rPr>
          <w:rFonts w:ascii="宋体" w:hAnsi="宋体"/>
          <w:b/>
          <w:color w:val="000000"/>
          <w:sz w:val="32"/>
          <w:szCs w:val="32"/>
        </w:rPr>
      </w:pPr>
    </w:p>
    <w:p>
      <w:pPr>
        <w:spacing w:line="300" w:lineRule="auto"/>
        <w:rPr>
          <w:rFonts w:ascii="宋体" w:hAnsi="宋体"/>
          <w:b/>
          <w:color w:val="000000"/>
          <w:sz w:val="32"/>
          <w:szCs w:val="32"/>
        </w:rPr>
      </w:pPr>
    </w:p>
    <w:p>
      <w:pPr>
        <w:spacing w:line="300" w:lineRule="auto"/>
        <w:jc w:val="both"/>
        <w:rPr>
          <w:rFonts w:hint="eastAsia" w:ascii="仿宋_GB2312" w:hAnsi="宋体" w:eastAsia="仿宋_GB2312"/>
          <w:b/>
          <w:color w:val="000000"/>
          <w:sz w:val="32"/>
          <w:szCs w:val="32"/>
        </w:rPr>
      </w:pPr>
    </w:p>
    <w:p>
      <w:pPr>
        <w:spacing w:line="300" w:lineRule="auto"/>
        <w:jc w:val="both"/>
        <w:rPr>
          <w:rFonts w:hint="eastAsia" w:ascii="仿宋_GB2312" w:hAnsi="宋体" w:eastAsia="仿宋_GB2312"/>
          <w:b/>
          <w:color w:val="000000"/>
          <w:sz w:val="32"/>
          <w:szCs w:val="32"/>
        </w:rPr>
      </w:pPr>
    </w:p>
    <w:p>
      <w:pPr>
        <w:spacing w:line="300" w:lineRule="auto"/>
        <w:jc w:val="both"/>
        <w:rPr>
          <w:rFonts w:hint="eastAsia" w:ascii="仿宋_GB2312" w:hAnsi="宋体" w:eastAsia="仿宋_GB2312"/>
          <w:b/>
          <w:color w:val="000000"/>
          <w:sz w:val="32"/>
          <w:szCs w:val="32"/>
        </w:rPr>
      </w:pPr>
    </w:p>
    <w:p>
      <w:pPr>
        <w:spacing w:line="300" w:lineRule="auto"/>
        <w:jc w:val="center"/>
        <w:rPr>
          <w:rFonts w:ascii="宋体" w:hAnsi="宋体"/>
          <w:color w:val="000000"/>
          <w:sz w:val="32"/>
          <w:szCs w:val="32"/>
        </w:rPr>
      </w:pPr>
      <w:r>
        <w:rPr>
          <w:rFonts w:hint="eastAsia" w:ascii="仿宋_GB2312" w:hAnsi="宋体" w:eastAsia="仿宋_GB2312"/>
          <w:b/>
          <w:color w:val="000000"/>
          <w:sz w:val="32"/>
          <w:szCs w:val="32"/>
        </w:rPr>
        <w:t xml:space="preserve">第三章 </w:t>
      </w:r>
      <w:r>
        <w:rPr>
          <w:rFonts w:hint="eastAsia" w:ascii="仿宋_GB2312" w:hAnsi="宋体" w:eastAsia="仿宋_GB2312"/>
          <w:b/>
          <w:color w:val="000000"/>
          <w:sz w:val="32"/>
          <w:szCs w:val="32"/>
          <w:lang w:eastAsia="zh-CN"/>
        </w:rPr>
        <w:t>方案设计及</w:t>
      </w:r>
      <w:r>
        <w:rPr>
          <w:rFonts w:hint="eastAsia" w:ascii="仿宋_GB2312" w:hAnsi="宋体" w:eastAsia="仿宋_GB2312"/>
          <w:b/>
          <w:color w:val="000000"/>
          <w:sz w:val="32"/>
          <w:szCs w:val="32"/>
        </w:rPr>
        <w:t>要求</w:t>
      </w:r>
    </w:p>
    <w:p>
      <w:pPr>
        <w:numPr>
          <w:ilvl w:val="0"/>
          <w:numId w:val="0"/>
        </w:numPr>
        <w:tabs>
          <w:tab w:val="left" w:pos="180"/>
          <w:tab w:val="left" w:pos="1620"/>
        </w:tabs>
        <w:spacing w:line="360" w:lineRule="auto"/>
        <w:ind w:firstLine="480" w:firstLineChars="200"/>
        <w:rPr>
          <w:rFonts w:ascii="仿宋_GB2312" w:hAnsi="仿宋" w:eastAsia="仿宋_GB2312"/>
          <w:b w:val="0"/>
          <w:bCs w:val="0"/>
          <w:sz w:val="24"/>
        </w:rPr>
      </w:pPr>
      <w:r>
        <w:rPr>
          <w:rFonts w:hint="eastAsia" w:ascii="仿宋_GB2312" w:hAnsi="仿宋" w:eastAsia="仿宋_GB2312"/>
          <w:b w:val="0"/>
          <w:bCs w:val="0"/>
          <w:sz w:val="24"/>
          <w:lang w:eastAsia="zh-CN"/>
        </w:rPr>
        <w:t>一、项目要求：</w:t>
      </w:r>
    </w:p>
    <w:p>
      <w:pPr>
        <w:spacing w:line="300" w:lineRule="auto"/>
        <w:ind w:firstLine="480" w:firstLineChars="200"/>
        <w:jc w:val="both"/>
        <w:rPr>
          <w:rFonts w:hint="eastAsia" w:ascii="仿宋_GB2312" w:hAnsi="仿宋" w:eastAsia="仿宋_GB2312"/>
          <w:sz w:val="24"/>
          <w:lang w:val="en-US" w:eastAsia="zh-CN"/>
        </w:rPr>
      </w:pPr>
      <w:r>
        <w:rPr>
          <w:rFonts w:hint="eastAsia" w:ascii="仿宋_GB2312" w:hAnsi="仿宋" w:eastAsia="仿宋_GB2312"/>
          <w:sz w:val="24"/>
          <w:lang w:eastAsia="zh-CN"/>
        </w:rPr>
        <w:t>根据</w:t>
      </w:r>
      <w:r>
        <w:rPr>
          <w:rFonts w:hint="eastAsia" w:ascii="仿宋_GB2312" w:hAnsi="仿宋" w:eastAsia="仿宋_GB2312"/>
          <w:sz w:val="24"/>
          <w:lang w:val="en-US" w:eastAsia="zh-CN"/>
        </w:rPr>
        <w:t>会展城商业中心的宣传及指示需要，要求对会展城商业中心VI及标识设计更换等。</w:t>
      </w:r>
    </w:p>
    <w:p>
      <w:pPr>
        <w:tabs>
          <w:tab w:val="left" w:pos="180"/>
          <w:tab w:val="left" w:pos="1620"/>
        </w:tabs>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lang w:val="en-US" w:eastAsia="zh-CN"/>
        </w:rPr>
        <w:t>具体如下：</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1.整体设计美观大方、创意性强。</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 w:eastAsia="仿宋_GB2312"/>
          <w:b w:val="0"/>
          <w:bCs w:val="0"/>
          <w:color w:val="000000"/>
          <w:sz w:val="24"/>
          <w:lang w:val="en-US" w:eastAsia="zh-CN"/>
        </w:rPr>
        <w:t>供应商</w:t>
      </w:r>
      <w:r>
        <w:rPr>
          <w:rFonts w:hint="eastAsia" w:ascii="仿宋_GB2312" w:hAnsi="仿宋_GB2312" w:eastAsia="仿宋_GB2312" w:cs="仿宋_GB2312"/>
          <w:sz w:val="24"/>
          <w:szCs w:val="24"/>
        </w:rPr>
        <w:t>负责</w:t>
      </w:r>
      <w:r>
        <w:rPr>
          <w:rFonts w:hint="eastAsia" w:ascii="仿宋_GB2312" w:hAnsi="仿宋" w:eastAsia="仿宋_GB2312"/>
          <w:sz w:val="24"/>
          <w:lang w:val="en-US" w:eastAsia="zh-CN"/>
        </w:rPr>
        <w:t>会展城商业中心VI及标识设计更换等</w:t>
      </w:r>
      <w:r>
        <w:rPr>
          <w:rFonts w:hint="eastAsia" w:ascii="仿宋_GB2312" w:hAnsi="仿宋_GB2312" w:eastAsia="仿宋_GB2312" w:cs="仿宋_GB2312"/>
          <w:sz w:val="24"/>
          <w:szCs w:val="24"/>
        </w:rPr>
        <w:t>工作</w:t>
      </w:r>
      <w:r>
        <w:rPr>
          <w:rFonts w:hint="eastAsia" w:ascii="仿宋_GB2312" w:hAnsi="仿宋_GB2312" w:eastAsia="仿宋_GB2312" w:cs="仿宋_GB2312"/>
          <w:sz w:val="24"/>
          <w:szCs w:val="24"/>
          <w:lang w:eastAsia="zh-CN"/>
        </w:rPr>
        <w:t>。</w:t>
      </w:r>
    </w:p>
    <w:p>
      <w:pPr>
        <w:tabs>
          <w:tab w:val="left" w:pos="180"/>
          <w:tab w:val="left" w:pos="1620"/>
        </w:tabs>
        <w:spacing w:line="360" w:lineRule="auto"/>
        <w:ind w:firstLine="480" w:firstLineChars="200"/>
        <w:rPr>
          <w:rFonts w:hint="default"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3方案应含设计方案、效果图和施工图，并对设计构思、布局、材料选择及效果进行书面说明。</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val="en-US" w:eastAsia="zh-CN"/>
        </w:rPr>
        <w:t>4.所使用的物料应符合国家质量有关规定</w:t>
      </w:r>
      <w:r>
        <w:rPr>
          <w:rFonts w:hint="eastAsia" w:ascii="仿宋_GB2312" w:hAnsi="仿宋" w:eastAsia="仿宋_GB2312"/>
          <w:color w:val="000000"/>
          <w:sz w:val="24"/>
        </w:rPr>
        <w:t>。施工材料符合消防要求，防火性能良好，结构安全稳固，保障施工及参观过程中的人身安全。</w:t>
      </w:r>
    </w:p>
    <w:p>
      <w:pPr>
        <w:tabs>
          <w:tab w:val="left" w:pos="180"/>
          <w:tab w:val="left" w:pos="1620"/>
        </w:tabs>
        <w:spacing w:line="360" w:lineRule="auto"/>
        <w:ind w:firstLine="480" w:firstLineChars="200"/>
        <w:rPr>
          <w:rFonts w:hint="default" w:ascii="仿宋_GB2312" w:hAnsi="仿宋" w:eastAsia="仿宋_GB2312"/>
          <w:color w:val="000000"/>
          <w:sz w:val="24"/>
          <w:lang w:val="en-US" w:eastAsia="zh-CN"/>
        </w:rPr>
      </w:pP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eastAsia="zh-CN"/>
        </w:rPr>
        <w:t>二</w:t>
      </w:r>
      <w:r>
        <w:rPr>
          <w:rFonts w:hint="eastAsia" w:ascii="仿宋_GB2312" w:hAnsi="仿宋" w:eastAsia="仿宋_GB2312"/>
          <w:color w:val="000000"/>
          <w:sz w:val="24"/>
        </w:rPr>
        <w:t>、其他要求：</w:t>
      </w:r>
    </w:p>
    <w:p>
      <w:pPr>
        <w:tabs>
          <w:tab w:val="left" w:pos="180"/>
          <w:tab w:val="left" w:pos="1620"/>
        </w:tabs>
        <w:spacing w:line="360" w:lineRule="auto"/>
        <w:ind w:firstLine="480" w:firstLineChars="200"/>
        <w:rPr>
          <w:rFonts w:hint="eastAsia" w:ascii="仿宋_GB2312" w:hAnsi="仿宋" w:eastAsia="仿宋_GB2312"/>
          <w:color w:val="000000"/>
          <w:sz w:val="24"/>
          <w:lang w:eastAsia="zh-CN"/>
        </w:rPr>
      </w:pPr>
      <w:r>
        <w:rPr>
          <w:rFonts w:hint="eastAsia" w:ascii="仿宋_GB2312" w:hAnsi="仿宋" w:eastAsia="仿宋_GB2312"/>
          <w:color w:val="000000"/>
          <w:sz w:val="24"/>
        </w:rPr>
        <w:t>（1）本项目是采用包工包料的形式发包，</w:t>
      </w:r>
      <w:r>
        <w:rPr>
          <w:rFonts w:hint="eastAsia" w:ascii="仿宋_GB2312" w:hAnsi="仿宋" w:eastAsia="仿宋_GB2312"/>
          <w:color w:val="000000"/>
          <w:sz w:val="24"/>
          <w:lang w:val="en-US" w:eastAsia="zh-CN"/>
        </w:rPr>
        <w:t>拆除、</w:t>
      </w:r>
      <w:r>
        <w:rPr>
          <w:rFonts w:hint="eastAsia" w:ascii="仿宋_GB2312" w:hAnsi="仿宋" w:eastAsia="仿宋_GB2312"/>
          <w:color w:val="000000"/>
          <w:sz w:val="24"/>
        </w:rPr>
        <w:t>设计</w:t>
      </w:r>
      <w:r>
        <w:rPr>
          <w:rFonts w:hint="eastAsia" w:ascii="仿宋_GB2312" w:hAnsi="仿宋" w:eastAsia="仿宋_GB2312"/>
          <w:color w:val="000000"/>
          <w:sz w:val="24"/>
          <w:lang w:eastAsia="zh-CN"/>
        </w:rPr>
        <w:t>、</w:t>
      </w:r>
      <w:r>
        <w:rPr>
          <w:rFonts w:hint="eastAsia" w:ascii="仿宋_GB2312" w:hAnsi="仿宋" w:eastAsia="仿宋_GB2312"/>
          <w:color w:val="000000"/>
          <w:sz w:val="24"/>
          <w:lang w:val="en-US" w:eastAsia="zh-CN"/>
        </w:rPr>
        <w:t>安装</w:t>
      </w:r>
      <w:r>
        <w:rPr>
          <w:rFonts w:hint="eastAsia" w:ascii="仿宋_GB2312" w:hAnsi="仿宋" w:eastAsia="仿宋_GB2312"/>
          <w:color w:val="000000"/>
          <w:sz w:val="24"/>
        </w:rPr>
        <w:t>所涉及的所有费用均由成交方承担；</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2</w:t>
      </w:r>
      <w:r>
        <w:rPr>
          <w:rFonts w:hint="eastAsia" w:ascii="仿宋_GB2312" w:hAnsi="仿宋" w:eastAsia="仿宋_GB2312"/>
          <w:color w:val="000000"/>
          <w:sz w:val="24"/>
        </w:rPr>
        <w:t>）在成交后至正式</w:t>
      </w:r>
      <w:r>
        <w:rPr>
          <w:rFonts w:hint="eastAsia" w:ascii="仿宋_GB2312" w:hAnsi="仿宋" w:eastAsia="仿宋_GB2312"/>
          <w:color w:val="000000"/>
          <w:sz w:val="24"/>
          <w:lang w:val="en-US" w:eastAsia="zh-CN"/>
        </w:rPr>
        <w:t>安装</w:t>
      </w:r>
      <w:r>
        <w:rPr>
          <w:rFonts w:hint="eastAsia" w:ascii="仿宋_GB2312" w:hAnsi="仿宋" w:eastAsia="仿宋_GB2312"/>
          <w:color w:val="000000"/>
          <w:sz w:val="24"/>
        </w:rPr>
        <w:t>之前，如采购单位要求对</w:t>
      </w:r>
      <w:r>
        <w:rPr>
          <w:rFonts w:hint="eastAsia" w:ascii="仿宋_GB2312" w:hAnsi="仿宋" w:eastAsia="仿宋_GB2312"/>
          <w:color w:val="000000"/>
          <w:sz w:val="24"/>
          <w:lang w:val="en-US" w:eastAsia="zh-CN"/>
        </w:rPr>
        <w:t>设计</w:t>
      </w:r>
      <w:r>
        <w:rPr>
          <w:rFonts w:hint="eastAsia" w:ascii="仿宋_GB2312" w:hAnsi="仿宋" w:eastAsia="仿宋_GB2312"/>
          <w:color w:val="000000"/>
          <w:sz w:val="24"/>
        </w:rPr>
        <w:t>方案进行修改或调整，成交方必须积极配合执行；</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3</w:t>
      </w: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项目具体情况可联系磋商联系人咨询了解。</w:t>
      </w:r>
    </w:p>
    <w:p>
      <w:pPr>
        <w:tabs>
          <w:tab w:val="left" w:pos="180"/>
          <w:tab w:val="left" w:pos="1620"/>
        </w:tabs>
        <w:spacing w:line="360" w:lineRule="auto"/>
        <w:ind w:firstLine="480" w:firstLineChars="200"/>
        <w:rPr>
          <w:rFonts w:ascii="仿宋_GB2312" w:hAnsi="仿宋" w:eastAsia="仿宋_GB2312"/>
          <w:color w:val="000000"/>
          <w:sz w:val="24"/>
        </w:rPr>
      </w:pPr>
    </w:p>
    <w:p>
      <w:pPr>
        <w:tabs>
          <w:tab w:val="left" w:pos="180"/>
          <w:tab w:val="left" w:pos="1620"/>
        </w:tabs>
        <w:spacing w:line="360" w:lineRule="auto"/>
        <w:ind w:firstLine="480" w:firstLineChars="200"/>
        <w:rPr>
          <w:rFonts w:ascii="仿宋_GB2312" w:hAnsi="仿宋" w:eastAsia="仿宋_GB2312"/>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 w:hAnsi="仿宋" w:eastAsia="仿宋"/>
          <w:color w:val="000000"/>
          <w:sz w:val="24"/>
        </w:rPr>
      </w:pPr>
    </w:p>
    <w:p>
      <w:pPr>
        <w:spacing w:line="300" w:lineRule="auto"/>
        <w:rPr>
          <w:rFonts w:ascii="仿宋_GB2312" w:hAnsi="宋体" w:eastAsia="仿宋_GB2312"/>
          <w:color w:val="000000"/>
          <w:szCs w:val="21"/>
        </w:rPr>
      </w:pPr>
      <w:r>
        <w:rPr>
          <w:rFonts w:hint="eastAsia" w:ascii="仿宋_GB2312" w:hAnsi="宋体" w:eastAsia="仿宋_GB2312"/>
          <w:color w:val="000000"/>
          <w:szCs w:val="21"/>
        </w:rPr>
        <w:t xml:space="preserve">                </w:t>
      </w:r>
    </w:p>
    <w:p>
      <w:pPr>
        <w:jc w:val="center"/>
        <w:rPr>
          <w:rFonts w:eastAsia="仿宋_GB2312"/>
          <w:b/>
          <w:bCs/>
          <w:color w:val="000000"/>
          <w:sz w:val="36"/>
          <w:szCs w:val="36"/>
        </w:rPr>
      </w:pPr>
      <w:r>
        <w:rPr>
          <w:rFonts w:eastAsia="仿宋_GB2312"/>
          <w:b/>
          <w:bCs/>
          <w:color w:val="000000"/>
          <w:sz w:val="32"/>
          <w:szCs w:val="32"/>
        </w:rPr>
        <w:t>第四章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简体" w:eastAsia="方正小标宋简体"/>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2" w:name="_Toc264882251"/>
      <w:bookmarkStart w:id="3" w:name="_Toc265137408"/>
      <w:bookmarkStart w:id="4" w:name="_Toc264731469"/>
      <w:bookmarkStart w:id="5" w:name="_Toc274756332"/>
      <w:bookmarkStart w:id="6" w:name="_Toc265138140"/>
      <w:bookmarkStart w:id="7" w:name="_Toc265137628"/>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2"/>
      <w:bookmarkEnd w:id="3"/>
      <w:bookmarkEnd w:id="4"/>
      <w:bookmarkEnd w:id="5"/>
      <w:bookmarkEnd w:id="6"/>
      <w:bookmarkEnd w:id="7"/>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仿宋_GB2312" w:hAnsi="宋体" w:eastAsia="仿宋_GB2312"/>
          <w:b/>
          <w:color w:val="000000"/>
          <w:szCs w:val="21"/>
        </w:rPr>
      </w:pPr>
      <w:r>
        <w:rPr>
          <w:rFonts w:hint="eastAsia" w:ascii="仿宋_GB2312" w:hAnsi="宋体" w:eastAsia="仿宋_GB2312"/>
          <w:b/>
          <w:color w:val="000000"/>
          <w:szCs w:val="21"/>
        </w:rPr>
        <w:t xml:space="preserve">附件一 </w:t>
      </w:r>
    </w:p>
    <w:p>
      <w:pPr>
        <w:jc w:val="center"/>
        <w:rPr>
          <w:rFonts w:ascii="仿宋_GB2312" w:hAnsi="宋体" w:eastAsia="仿宋_GB2312"/>
          <w:b/>
          <w:color w:val="000000"/>
          <w:sz w:val="44"/>
          <w:szCs w:val="44"/>
        </w:rPr>
      </w:pPr>
      <w:r>
        <w:rPr>
          <w:rFonts w:hint="eastAsia" w:ascii="仿宋_GB2312" w:hAnsi="宋体" w:eastAsia="仿宋_GB2312"/>
          <w:b/>
          <w:color w:val="000000"/>
          <w:sz w:val="44"/>
          <w:szCs w:val="44"/>
        </w:rPr>
        <w:t>竞争性磋商谈判书</w:t>
      </w:r>
    </w:p>
    <w:p>
      <w:pPr>
        <w:pStyle w:val="12"/>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w:t>
      </w:r>
      <w:r>
        <w:rPr>
          <w:rFonts w:hint="eastAsia" w:ascii="仿宋_GB2312" w:hAnsi="宋体" w:eastAsia="仿宋_GB2312"/>
          <w:color w:val="000000"/>
          <w:sz w:val="28"/>
          <w:szCs w:val="28"/>
          <w:u w:val="single"/>
          <w:lang w:val="en-US" w:eastAsia="zh-CN"/>
        </w:rPr>
        <w:t>南博国际会展有限责任公司</w:t>
      </w:r>
      <w:r>
        <w:rPr>
          <w:rFonts w:hint="eastAsia" w:ascii="仿宋_GB2312" w:hAnsi="宋体" w:eastAsia="仿宋_GB2312"/>
          <w:color w:val="000000"/>
          <w:sz w:val="28"/>
          <w:szCs w:val="28"/>
        </w:rPr>
        <w:t>：</w:t>
      </w:r>
    </w:p>
    <w:p>
      <w:pPr>
        <w:pStyle w:val="12"/>
        <w:spacing w:line="440" w:lineRule="exact"/>
        <w:ind w:firstLine="48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依据贵方</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会展城商业中心VI及标识设计更换等</w:t>
      </w:r>
      <w:r>
        <w:rPr>
          <w:rFonts w:hint="eastAsia" w:ascii="仿宋_GB2312" w:hAnsi="宋体" w:eastAsia="仿宋_GB2312"/>
          <w:color w:val="000000"/>
          <w:sz w:val="28"/>
          <w:szCs w:val="28"/>
          <w:u w:val="single"/>
        </w:rPr>
        <w:t>项目</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副本</w:t>
      </w:r>
      <w:r>
        <w:rPr>
          <w:rFonts w:hint="eastAsia" w:ascii="仿宋_GB2312" w:hAnsi="宋体" w:eastAsia="仿宋_GB2312"/>
          <w:color w:val="000000"/>
          <w:sz w:val="28"/>
          <w:szCs w:val="28"/>
          <w:lang w:val="en-US" w:eastAsia="zh-CN"/>
        </w:rPr>
        <w:t>3</w:t>
      </w:r>
      <w:r>
        <w:rPr>
          <w:rFonts w:hint="eastAsia" w:ascii="仿宋_GB2312" w:hAnsi="宋体" w:eastAsia="仿宋_GB2312"/>
          <w:color w:val="000000"/>
          <w:sz w:val="28"/>
          <w:szCs w:val="28"/>
        </w:rPr>
        <w:t>份</w:t>
      </w:r>
      <w:r>
        <w:rPr>
          <w:rFonts w:hint="eastAsia" w:ascii="仿宋_GB2312" w:hAnsi="宋体" w:eastAsia="仿宋_GB2312"/>
          <w:color w:val="000000"/>
          <w:sz w:val="28"/>
          <w:szCs w:val="28"/>
          <w:lang w:eastAsia="zh-CN"/>
        </w:rPr>
        <w:t>：</w:t>
      </w:r>
    </w:p>
    <w:p>
      <w:pPr>
        <w:pStyle w:val="12"/>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2"/>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w:t>
      </w:r>
      <w:r>
        <w:rPr>
          <w:rFonts w:hint="eastAsia" w:ascii="仿宋_GB2312" w:hAnsi="宋体" w:eastAsia="仿宋_GB2312"/>
          <w:color w:val="000000"/>
          <w:sz w:val="28"/>
          <w:szCs w:val="28"/>
          <w:lang w:val="en-US" w:eastAsia="zh-CN"/>
        </w:rPr>
        <w:t>项目</w:t>
      </w:r>
      <w:r>
        <w:rPr>
          <w:rFonts w:hint="eastAsia" w:ascii="仿宋_GB2312" w:hAnsi="宋体" w:eastAsia="仿宋_GB2312"/>
          <w:color w:val="000000"/>
          <w:sz w:val="28"/>
          <w:szCs w:val="28"/>
        </w:rPr>
        <w:t>设计要求提供的有关文件；</w:t>
      </w:r>
    </w:p>
    <w:p>
      <w:pPr>
        <w:pStyle w:val="12"/>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2"/>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2"/>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2"/>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2"/>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2"/>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2"/>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2"/>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2"/>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2"/>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2"/>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2"/>
        <w:spacing w:line="440" w:lineRule="exact"/>
        <w:ind w:firstLine="840"/>
        <w:rPr>
          <w:rFonts w:hint="eastAsia" w:ascii="仿宋_GB2312" w:hAnsi="宋体" w:eastAsia="仿宋_GB2312"/>
          <w:color w:val="000000"/>
          <w:sz w:val="28"/>
          <w:szCs w:val="28"/>
        </w:rPr>
        <w:sectPr>
          <w:headerReference r:id="rId3" w:type="default"/>
          <w:footerReference r:id="rId4"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2"/>
        <w:spacing w:line="440" w:lineRule="exact"/>
        <w:ind w:firstLine="840"/>
        <w:rPr>
          <w:rFonts w:hint="eastAsia" w:ascii="仿宋_GB2312" w:hAnsi="宋体" w:eastAsia="仿宋_GB2312"/>
          <w:color w:val="000000"/>
          <w:sz w:val="28"/>
          <w:szCs w:val="28"/>
        </w:rPr>
      </w:pPr>
    </w:p>
    <w:p>
      <w:pPr>
        <w:rPr>
          <w:rFonts w:hint="eastAsia"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hint="eastAsia" w:ascii="宋体" w:hAnsi="宋体"/>
          <w:color w:val="000000"/>
          <w:sz w:val="28"/>
          <w:szCs w:val="28"/>
          <w:u w:val="single"/>
        </w:rPr>
      </w:pPr>
      <w:r>
        <w:rPr>
          <w:rFonts w:hint="eastAsia" w:ascii="宋体" w:hAnsi="宋体"/>
          <w:color w:val="000000"/>
          <w:sz w:val="28"/>
          <w:szCs w:val="28"/>
        </w:rPr>
        <w:t>项目名称:</w:t>
      </w:r>
      <w:r>
        <w:rPr>
          <w:rFonts w:hint="eastAsia" w:ascii="宋体" w:hAnsi="宋体"/>
          <w:color w:val="000000"/>
          <w:sz w:val="28"/>
          <w:szCs w:val="28"/>
          <w:u w:val="single"/>
        </w:rPr>
        <w:t xml:space="preserve"> </w:t>
      </w:r>
      <w:r>
        <w:rPr>
          <w:rFonts w:hint="eastAsia" w:ascii="仿宋_GB2312" w:hAnsi="宋体" w:eastAsia="仿宋_GB2312"/>
          <w:color w:val="000000"/>
          <w:sz w:val="28"/>
          <w:szCs w:val="28"/>
          <w:u w:val="single"/>
          <w:lang w:val="en-US" w:eastAsia="zh-CN"/>
        </w:rPr>
        <w:t>会展城商业中心VI及标识设计更换等施工一体化服务项目</w:t>
      </w:r>
      <w:r>
        <w:rPr>
          <w:rFonts w:hint="eastAsia" w:ascii="宋体" w:hAnsi="宋体"/>
          <w:color w:val="000000"/>
          <w:sz w:val="28"/>
          <w:szCs w:val="28"/>
          <w:u w:val="single"/>
        </w:rPr>
        <w:t xml:space="preserve">    </w:t>
      </w:r>
    </w:p>
    <w:tbl>
      <w:tblPr>
        <w:tblStyle w:val="23"/>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34"/>
        <w:gridCol w:w="1336"/>
        <w:gridCol w:w="1410"/>
        <w:gridCol w:w="610"/>
        <w:gridCol w:w="1360"/>
        <w:gridCol w:w="2110"/>
        <w:gridCol w:w="2380"/>
        <w:gridCol w:w="1030"/>
        <w:gridCol w:w="1030"/>
        <w:gridCol w:w="1040"/>
        <w:gridCol w:w="9"/>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序号</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项目类型</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楼层</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内容</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材料类型</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规格尺寸</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数量</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单位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单价</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3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标识类</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L1、会展路</w:t>
            </w:r>
          </w:p>
        </w:tc>
        <w:tc>
          <w:tcPr>
            <w:tcW w:w="197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沿街精神堡垒顶部顶部画面</w:t>
            </w:r>
          </w:p>
        </w:tc>
        <w:tc>
          <w:tcPr>
            <w:tcW w:w="211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户外写真（UV软膜）</w:t>
            </w:r>
          </w:p>
        </w:tc>
        <w:tc>
          <w:tcPr>
            <w:tcW w:w="23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2000cm长，550cm高</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沿街精神堡垒顶部顶部面板</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铝板雕刻透光logo</w:t>
            </w:r>
          </w:p>
        </w:tc>
        <w:tc>
          <w:tcPr>
            <w:tcW w:w="23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1800cm长，840cm高</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w:t>
            </w:r>
          </w:p>
        </w:tc>
        <w:tc>
          <w:tcPr>
            <w:tcW w:w="1970" w:type="dxa"/>
            <w:gridSpan w:val="2"/>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一楼水池内主题发光字</w:t>
            </w: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金属发光字</w:t>
            </w:r>
          </w:p>
        </w:tc>
        <w:tc>
          <w:tcPr>
            <w:tcW w:w="23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底座375cm长，34cm宽    98cmh  字大8.5cm厚，小6cm </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L3</w:t>
            </w:r>
          </w:p>
        </w:tc>
        <w:tc>
          <w:tcPr>
            <w:tcW w:w="197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楼顶户外大发光字</w:t>
            </w:r>
          </w:p>
        </w:tc>
        <w:tc>
          <w:tcPr>
            <w:tcW w:w="21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金属发光字</w:t>
            </w:r>
          </w:p>
        </w:tc>
        <w:tc>
          <w:tcPr>
            <w:tcW w:w="23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全长13.5m                                   logo长2.2m       高210m         大字长1.1m      高1.1m</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小字长88cm     高85cm</w:t>
            </w:r>
          </w:p>
        </w:tc>
        <w:tc>
          <w:tcPr>
            <w:tcW w:w="103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L7</w:t>
            </w:r>
          </w:p>
        </w:tc>
        <w:tc>
          <w:tcPr>
            <w:tcW w:w="19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楼顶主题发光字</w:t>
            </w:r>
          </w:p>
        </w:tc>
        <w:tc>
          <w:tcPr>
            <w:tcW w:w="2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发光字</w:t>
            </w:r>
          </w:p>
        </w:tc>
        <w:tc>
          <w:tcPr>
            <w:tcW w:w="23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长350cm   高350cm</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3" w:hRule="atLeast"/>
        </w:trPr>
        <w:tc>
          <w:tcPr>
            <w:tcW w:w="6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1370" w:type="dxa"/>
            <w:gridSpan w:val="2"/>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环境氛围类</w:t>
            </w:r>
          </w:p>
        </w:tc>
        <w:tc>
          <w:tcPr>
            <w:tcW w:w="141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L2</w:t>
            </w:r>
          </w:p>
        </w:tc>
        <w:tc>
          <w:tcPr>
            <w:tcW w:w="1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绿植标识形象墙</w:t>
            </w:r>
          </w:p>
        </w:tc>
        <w:tc>
          <w:tcPr>
            <w:tcW w:w="2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金属发光字</w:t>
            </w:r>
          </w:p>
        </w:tc>
        <w:tc>
          <w:tcPr>
            <w:tcW w:w="2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全长970cm </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 xml:space="preserve">  logo高140cm   大字高70cm  小字高50cm</w:t>
            </w:r>
          </w:p>
        </w:tc>
        <w:tc>
          <w:tcPr>
            <w:tcW w:w="10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绿植墙黄色墙体修复，仿真绿植覆盖</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长6800cm  高2500cm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L7</w:t>
            </w:r>
          </w:p>
        </w:tc>
        <w:tc>
          <w:tcPr>
            <w:tcW w:w="1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 观光玻璃电梯间外画面更换（含吊车吊装费用）</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单透网格布</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侧面  长330cm 高520cm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背面 长660cm  高530cm</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3" w:hRule="atLeast"/>
        </w:trPr>
        <w:tc>
          <w:tcPr>
            <w:tcW w:w="6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w:t>
            </w:r>
          </w:p>
        </w:tc>
        <w:tc>
          <w:tcPr>
            <w:tcW w:w="1370" w:type="dxa"/>
            <w:gridSpan w:val="2"/>
            <w:vMerge w:val="continue"/>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L7 </w:t>
            </w: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天台扶梯入口处灯箱刀刮布画面（含吊车吊装费用）</w:t>
            </w: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刀刮布画面</w:t>
            </w:r>
          </w:p>
        </w:tc>
        <w:tc>
          <w:tcPr>
            <w:tcW w:w="23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长480cm   高320cm</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690"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11</w:t>
            </w:r>
          </w:p>
        </w:tc>
        <w:tc>
          <w:tcPr>
            <w:tcW w:w="1370"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L1-L7</w:t>
            </w:r>
          </w:p>
        </w:tc>
        <w:tc>
          <w:tcPr>
            <w:tcW w:w="1970"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玻璃门腰线玻璃贴画面更换</w:t>
            </w:r>
          </w:p>
        </w:tc>
        <w:tc>
          <w:tcPr>
            <w:tcW w:w="211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玻璃贴印刷</w:t>
            </w:r>
          </w:p>
        </w:tc>
        <w:tc>
          <w:tcPr>
            <w:tcW w:w="238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高10cm  长167cm   </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w:t>
            </w:r>
          </w:p>
        </w:tc>
        <w:tc>
          <w:tcPr>
            <w:tcW w:w="103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0" w:hRule="atLeast"/>
        </w:trPr>
        <w:tc>
          <w:tcPr>
            <w:tcW w:w="690"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w:t>
            </w:r>
          </w:p>
        </w:tc>
        <w:tc>
          <w:tcPr>
            <w:tcW w:w="1370" w:type="dxa"/>
            <w:gridSpan w:val="2"/>
            <w:vMerge w:val="continue"/>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高10cm     长138cm</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w:t>
            </w:r>
          </w:p>
        </w:tc>
        <w:tc>
          <w:tcPr>
            <w:tcW w:w="1030"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6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13</w:t>
            </w:r>
          </w:p>
        </w:tc>
        <w:tc>
          <w:tcPr>
            <w:tcW w:w="1370"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手扶电梯玻璃</w:t>
            </w:r>
          </w:p>
        </w:tc>
        <w:tc>
          <w:tcPr>
            <w:tcW w:w="1970" w:type="dxa"/>
            <w:gridSpan w:val="2"/>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方圆荟logo玻璃贴</w:t>
            </w:r>
          </w:p>
        </w:tc>
        <w:tc>
          <w:tcPr>
            <w:tcW w:w="211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玻璃贴印刷</w:t>
            </w:r>
          </w:p>
        </w:tc>
        <w:tc>
          <w:tcPr>
            <w:tcW w:w="23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长92cm  高110cm</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14</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长104cm  高110cm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13</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长104cm  高102cm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16</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长100cm  高100cm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17</w:t>
            </w:r>
          </w:p>
        </w:tc>
        <w:tc>
          <w:tcPr>
            <w:tcW w:w="1370" w:type="dxa"/>
            <w:gridSpan w:val="2"/>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L2</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公告栏“方圆荟”logo主题字更换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PVC裱户外高清车贴</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长150cm  高20cm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18</w:t>
            </w:r>
          </w:p>
        </w:tc>
        <w:tc>
          <w:tcPr>
            <w:tcW w:w="1370" w:type="dxa"/>
            <w:gridSpan w:val="2"/>
            <w:vMerge w:val="continue"/>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L3</w:t>
            </w:r>
          </w:p>
        </w:tc>
        <w:tc>
          <w:tcPr>
            <w:tcW w:w="197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公告栏底板制作</w:t>
            </w:r>
          </w:p>
        </w:tc>
        <w:tc>
          <w:tcPr>
            <w:tcW w:w="21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异形亚克力</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长1960cm  高1200cm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19</w:t>
            </w:r>
          </w:p>
        </w:tc>
        <w:tc>
          <w:tcPr>
            <w:tcW w:w="1370" w:type="dxa"/>
            <w:gridSpan w:val="2"/>
            <w:vMerge w:val="restart"/>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导视类</w:t>
            </w:r>
          </w:p>
        </w:tc>
        <w:tc>
          <w:tcPr>
            <w:tcW w:w="1410" w:type="dxa"/>
            <w:vMerge w:val="restart"/>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L1-L7</w:t>
            </w:r>
          </w:p>
        </w:tc>
        <w:tc>
          <w:tcPr>
            <w:tcW w:w="197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立牌内写真画面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高清户外写真</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高150cmh   长57.5cm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w:t>
            </w:r>
          </w:p>
        </w:tc>
        <w:tc>
          <w:tcPr>
            <w:tcW w:w="1370" w:type="dxa"/>
            <w:gridSpan w:val="2"/>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highlight w:val="none"/>
                <w:u w:val="none"/>
                <w:shd w:val="clear" w:color="auto" w:fill="auto"/>
              </w:rPr>
            </w:pPr>
            <w:r>
              <w:rPr>
                <w:rFonts w:hint="eastAsia" w:ascii="等线" w:hAnsi="等线" w:eastAsia="等线" w:cs="等线"/>
                <w:i w:val="0"/>
                <w:color w:val="auto"/>
                <w:kern w:val="0"/>
                <w:sz w:val="20"/>
                <w:szCs w:val="20"/>
                <w:highlight w:val="none"/>
                <w:u w:val="none"/>
                <w:shd w:val="clear" w:color="auto" w:fill="auto"/>
                <w:lang w:val="en-US" w:eastAsia="zh-CN" w:bidi="ar"/>
              </w:rPr>
              <w:t>立牌底部logo贴</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highlight w:val="none"/>
                <w:u w:val="none"/>
                <w:shd w:val="clear" w:color="auto" w:fill="auto"/>
              </w:rPr>
            </w:pPr>
            <w:r>
              <w:rPr>
                <w:rFonts w:hint="eastAsia" w:ascii="等线" w:hAnsi="等线" w:eastAsia="等线" w:cs="等线"/>
                <w:i w:val="0"/>
                <w:color w:val="auto"/>
                <w:kern w:val="0"/>
                <w:sz w:val="20"/>
                <w:szCs w:val="20"/>
                <w:highlight w:val="none"/>
                <w:u w:val="none"/>
                <w:shd w:val="clear" w:color="auto" w:fill="auto"/>
                <w:lang w:val="en-US" w:eastAsia="zh-CN" w:bidi="ar"/>
              </w:rPr>
              <w:t>高清车贴</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长48cm  高8cm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3"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21</w:t>
            </w:r>
          </w:p>
        </w:tc>
        <w:tc>
          <w:tcPr>
            <w:tcW w:w="1370" w:type="dxa"/>
            <w:gridSpan w:val="2"/>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auto" w:sz="4" w:space="0"/>
              <w:left w:val="single" w:color="000000" w:sz="4" w:space="0"/>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L2</w:t>
            </w:r>
          </w:p>
        </w:tc>
        <w:tc>
          <w:tcPr>
            <w:tcW w:w="1970" w:type="dxa"/>
            <w:gridSpan w:val="2"/>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潮玩新玩场灯箱画面补丁遮盖</w:t>
            </w:r>
          </w:p>
        </w:tc>
        <w:tc>
          <w:tcPr>
            <w:tcW w:w="211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户外高清车贴</w:t>
            </w:r>
          </w:p>
        </w:tc>
        <w:tc>
          <w:tcPr>
            <w:tcW w:w="2380" w:type="dxa"/>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r>
              <w:rPr>
                <w:rFonts w:hint="eastAsia" w:ascii="等线" w:hAnsi="等线" w:eastAsia="等线" w:cs="等线"/>
                <w:i w:val="0"/>
                <w:color w:val="auto"/>
                <w:kern w:val="0"/>
                <w:sz w:val="20"/>
                <w:szCs w:val="20"/>
                <w:u w:val="none"/>
                <w:shd w:val="clear" w:color="auto" w:fill="auto"/>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kern w:val="0"/>
                <w:sz w:val="20"/>
                <w:szCs w:val="20"/>
                <w:u w:val="none"/>
                <w:shd w:val="clear" w:color="auto" w:fill="auto"/>
                <w:lang w:val="en-US" w:eastAsia="zh-CN" w:bidi="ar"/>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6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22</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L2\L7</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地面铁艺导视板</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更换亚克力喷印导视图</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长180cm  高90cm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30" w:hRule="atLeast"/>
        </w:trPr>
        <w:tc>
          <w:tcPr>
            <w:tcW w:w="690"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23</w:t>
            </w:r>
          </w:p>
        </w:tc>
        <w:tc>
          <w:tcPr>
            <w:tcW w:w="1370" w:type="dxa"/>
            <w:gridSpan w:val="2"/>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L1-L7</w:t>
            </w: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楼层灯箱导视图</w:t>
            </w: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灯箱布</w:t>
            </w:r>
          </w:p>
        </w:tc>
        <w:tc>
          <w:tcPr>
            <w:tcW w:w="23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长400cm  高250cm</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1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w:t>
            </w:r>
          </w:p>
        </w:tc>
        <w:tc>
          <w:tcPr>
            <w:tcW w:w="1370" w:type="dxa"/>
            <w:gridSpan w:val="2"/>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auto" w:sz="4" w:space="0"/>
              <w:left w:val="single" w:color="000000"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L3</w:t>
            </w:r>
          </w:p>
        </w:tc>
        <w:tc>
          <w:tcPr>
            <w:tcW w:w="1970" w:type="dxa"/>
            <w:gridSpan w:val="2"/>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柱体上指引画面补丁遮盖</w:t>
            </w:r>
          </w:p>
        </w:tc>
        <w:tc>
          <w:tcPr>
            <w:tcW w:w="2110" w:type="dxa"/>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高清户外写真</w:t>
            </w:r>
          </w:p>
        </w:tc>
        <w:tc>
          <w:tcPr>
            <w:tcW w:w="2380" w:type="dxa"/>
            <w:tcBorders>
              <w:top w:val="single" w:color="auto" w:sz="4" w:space="0"/>
              <w:left w:val="nil"/>
              <w:bottom w:val="single" w:color="auto"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w:t>
            </w:r>
          </w:p>
        </w:tc>
        <w:tc>
          <w:tcPr>
            <w:tcW w:w="1030" w:type="dxa"/>
            <w:tcBorders>
              <w:top w:val="single" w:color="auto" w:sz="4" w:space="0"/>
              <w:left w:val="single" w:color="000000"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批</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3" w:hRule="atLeast"/>
        </w:trPr>
        <w:tc>
          <w:tcPr>
            <w:tcW w:w="69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25</w:t>
            </w:r>
          </w:p>
        </w:tc>
        <w:tc>
          <w:tcPr>
            <w:tcW w:w="1370" w:type="dxa"/>
            <w:gridSpan w:val="2"/>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L3</w:t>
            </w:r>
          </w:p>
        </w:tc>
        <w:tc>
          <w:tcPr>
            <w:tcW w:w="19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广告牌画面更换</w:t>
            </w:r>
          </w:p>
        </w:tc>
        <w:tc>
          <w:tcPr>
            <w:tcW w:w="2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kt板</w:t>
            </w:r>
          </w:p>
        </w:tc>
        <w:tc>
          <w:tcPr>
            <w:tcW w:w="23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长550cm  高260cm</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26</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L4</w:t>
            </w:r>
          </w:p>
        </w:tc>
        <w:tc>
          <w:tcPr>
            <w:tcW w:w="19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扶梯顶部半圈长方形灯箱画面更换</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灯箱片</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 高55cm 长505cm </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27</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高55cm  长505cm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28</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高55cm  长415cm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29</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侧面块高55cm 长500cm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w:t>
            </w:r>
          </w:p>
        </w:tc>
        <w:tc>
          <w:tcPr>
            <w:tcW w:w="1370" w:type="dxa"/>
            <w:gridSpan w:val="2"/>
            <w:vMerge w:val="continue"/>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小块高55cm   长200cm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3" w:hRule="atLeast"/>
        </w:trPr>
        <w:tc>
          <w:tcPr>
            <w:tcW w:w="690"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w:t>
            </w:r>
          </w:p>
        </w:tc>
        <w:tc>
          <w:tcPr>
            <w:tcW w:w="1370" w:type="dxa"/>
            <w:gridSpan w:val="2"/>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L5/L6</w:t>
            </w: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5、6楼直达电梯间旁楼层指南灯箱画面更换</w:t>
            </w:r>
          </w:p>
        </w:tc>
        <w:tc>
          <w:tcPr>
            <w:tcW w:w="2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刀刮布画面</w:t>
            </w:r>
          </w:p>
        </w:tc>
        <w:tc>
          <w:tcPr>
            <w:tcW w:w="23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长398cm   高245cm</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5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32</w:t>
            </w:r>
          </w:p>
        </w:tc>
        <w:tc>
          <w:tcPr>
            <w:tcW w:w="1370" w:type="dxa"/>
            <w:gridSpan w:val="2"/>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B1</w:t>
            </w:r>
          </w:p>
        </w:tc>
        <w:tc>
          <w:tcPr>
            <w:tcW w:w="197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地下停车场指示板</w:t>
            </w:r>
          </w:p>
        </w:tc>
        <w:tc>
          <w:tcPr>
            <w:tcW w:w="21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PVC裱户外高清车贴</w:t>
            </w:r>
          </w:p>
        </w:tc>
        <w:tc>
          <w:tcPr>
            <w:tcW w:w="23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长70cm  高45cm</w:t>
            </w:r>
          </w:p>
        </w:tc>
        <w:tc>
          <w:tcPr>
            <w:tcW w:w="103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w:t>
            </w:r>
          </w:p>
        </w:tc>
        <w:tc>
          <w:tcPr>
            <w:tcW w:w="103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53" w:hRule="atLeast"/>
        </w:trPr>
        <w:tc>
          <w:tcPr>
            <w:tcW w:w="6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33</w:t>
            </w:r>
          </w:p>
        </w:tc>
        <w:tc>
          <w:tcPr>
            <w:tcW w:w="1370" w:type="dxa"/>
            <w:gridSpan w:val="2"/>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商业广告类</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L1-L7</w:t>
            </w:r>
          </w:p>
        </w:tc>
        <w:tc>
          <w:tcPr>
            <w:tcW w:w="19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顶楼玻璃电梯房楼层指引写真贴</w:t>
            </w:r>
          </w:p>
        </w:tc>
        <w:tc>
          <w:tcPr>
            <w:tcW w:w="2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高清户外写真</w:t>
            </w:r>
          </w:p>
        </w:tc>
        <w:tc>
          <w:tcPr>
            <w:tcW w:w="23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高150cm   长57.5cm</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34</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L3</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六边形logo更换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PVC裱户外高清车贴</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直径60cm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35</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 xml:space="preserve">L1-L7 </w:t>
            </w:r>
          </w:p>
        </w:tc>
        <w:tc>
          <w:tcPr>
            <w:tcW w:w="1970" w:type="dxa"/>
            <w:gridSpan w:val="2"/>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停车场楼层指南灯箱画面补丁遮盖</w:t>
            </w:r>
          </w:p>
        </w:tc>
        <w:tc>
          <w:tcPr>
            <w:tcW w:w="211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户外高清车贴</w:t>
            </w:r>
          </w:p>
        </w:tc>
        <w:tc>
          <w:tcPr>
            <w:tcW w:w="238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批</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8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36</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 xml:space="preserve">L1  </w:t>
            </w:r>
          </w:p>
        </w:tc>
        <w:tc>
          <w:tcPr>
            <w:tcW w:w="1970" w:type="dxa"/>
            <w:gridSpan w:val="2"/>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下行停车场入口处顶部灯箱画面补丁遮盖</w:t>
            </w:r>
          </w:p>
        </w:tc>
        <w:tc>
          <w:tcPr>
            <w:tcW w:w="2110" w:type="dxa"/>
            <w:tcBorders>
              <w:top w:val="single" w:color="000000" w:sz="4" w:space="0"/>
              <w:left w:val="single" w:color="000000" w:sz="4" w:space="0"/>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户外高清车贴</w:t>
            </w:r>
          </w:p>
        </w:tc>
        <w:tc>
          <w:tcPr>
            <w:tcW w:w="238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r>
              <w:rPr>
                <w:rFonts w:hint="eastAsia" w:ascii="等线" w:hAnsi="等线" w:eastAsia="等线" w:cs="等线"/>
                <w:i w:val="0"/>
                <w:color w:val="auto"/>
                <w:kern w:val="0"/>
                <w:sz w:val="20"/>
                <w:szCs w:val="20"/>
                <w:u w:val="none"/>
                <w:lang w:val="en-US" w:eastAsia="zh-CN" w:bidi="ar"/>
              </w:rPr>
              <w:t>批</w:t>
            </w:r>
          </w:p>
        </w:tc>
        <w:tc>
          <w:tcPr>
            <w:tcW w:w="10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37</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桥边</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停车场入口顶部广告牌画面更换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刀刮布画面</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长900cm   高400cm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38</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桥边</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停车场入口侧面广告牌画面更换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刀刮布画面</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长500cm   高850cm</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39</w:t>
            </w: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桥边</w:t>
            </w: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桥路侧面广告牌画面更换</w:t>
            </w:r>
          </w:p>
        </w:tc>
        <w:tc>
          <w:tcPr>
            <w:tcW w:w="2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刀刮布画面</w:t>
            </w:r>
          </w:p>
        </w:tc>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单块尺寸约长700cm，高400cm，10块</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批</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（10块）</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w:t>
            </w:r>
          </w:p>
        </w:tc>
        <w:tc>
          <w:tcPr>
            <w:tcW w:w="1370" w:type="dxa"/>
            <w:gridSpan w:val="2"/>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会展大厦停车场配套导视制作服务</w:t>
            </w:r>
          </w:p>
        </w:tc>
        <w:tc>
          <w:tcPr>
            <w:tcW w:w="1410" w:type="dxa"/>
            <w:vMerge w:val="restart"/>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停车场</w:t>
            </w:r>
          </w:p>
        </w:tc>
        <w:tc>
          <w:tcPr>
            <w:tcW w:w="197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五号口停车处铁马标识</w:t>
            </w:r>
          </w:p>
        </w:tc>
        <w:tc>
          <w:tcPr>
            <w:tcW w:w="449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长201cm  高81cm*5块， 铝板+反光膜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41</w:t>
            </w:r>
          </w:p>
        </w:tc>
        <w:tc>
          <w:tcPr>
            <w:tcW w:w="1370"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B1南侧出入口标识</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长2700cm  高988cm，哑光墙体彩绘漆</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6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42</w:t>
            </w:r>
          </w:p>
        </w:tc>
        <w:tc>
          <w:tcPr>
            <w:tcW w:w="1370" w:type="dxa"/>
            <w:gridSpan w:val="2"/>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立柱标识</w:t>
            </w:r>
          </w:p>
        </w:tc>
        <w:tc>
          <w:tcPr>
            <w:tcW w:w="449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长80cm  高100cm，涂塑板+反光膜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20" w:hRule="atLeast"/>
        </w:trPr>
        <w:tc>
          <w:tcPr>
            <w:tcW w:w="69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43</w:t>
            </w:r>
          </w:p>
        </w:tc>
        <w:tc>
          <w:tcPr>
            <w:tcW w:w="137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 xml:space="preserve">步梯出入口标 </w:t>
            </w:r>
          </w:p>
        </w:tc>
        <w:tc>
          <w:tcPr>
            <w:tcW w:w="449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长101cm  高80cm  涂塑板+反光膜</w:t>
            </w:r>
          </w:p>
        </w:tc>
        <w:tc>
          <w:tcPr>
            <w:tcW w:w="10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80" w:hRule="atLeast"/>
        </w:trPr>
        <w:tc>
          <w:tcPr>
            <w:tcW w:w="69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44</w:t>
            </w:r>
          </w:p>
        </w:tc>
        <w:tc>
          <w:tcPr>
            <w:tcW w:w="137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吊式导视牌</w:t>
            </w:r>
          </w:p>
        </w:tc>
        <w:tc>
          <w:tcPr>
            <w:tcW w:w="449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长200cm  高280cm，厚度0.1m；镀锌板激光镂空，内贴乳白亚克力+LED灯源</w:t>
            </w:r>
          </w:p>
        </w:tc>
        <w:tc>
          <w:tcPr>
            <w:tcW w:w="10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16</w:t>
            </w:r>
          </w:p>
        </w:tc>
        <w:tc>
          <w:tcPr>
            <w:tcW w:w="10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9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45</w:t>
            </w:r>
          </w:p>
        </w:tc>
        <w:tc>
          <w:tcPr>
            <w:tcW w:w="137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97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缴费二维码</w:t>
            </w:r>
          </w:p>
        </w:tc>
        <w:tc>
          <w:tcPr>
            <w:tcW w:w="449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长80cm  高100cm，涂塑板+高清写真</w:t>
            </w:r>
          </w:p>
        </w:tc>
        <w:tc>
          <w:tcPr>
            <w:tcW w:w="10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w:t>
            </w:r>
          </w:p>
        </w:tc>
        <w:tc>
          <w:tcPr>
            <w:tcW w:w="103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w:t>
            </w:r>
          </w:p>
        </w:tc>
        <w:tc>
          <w:tcPr>
            <w:tcW w:w="10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90"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46</w:t>
            </w:r>
          </w:p>
        </w:tc>
        <w:tc>
          <w:tcPr>
            <w:tcW w:w="1370" w:type="dxa"/>
            <w:gridSpan w:val="2"/>
            <w:vMerge w:val="restart"/>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设计类</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标志设计</w:t>
            </w:r>
          </w:p>
        </w:tc>
        <w:tc>
          <w:tcPr>
            <w:tcW w:w="449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商场logo设计</w:t>
            </w:r>
          </w:p>
        </w:tc>
        <w:tc>
          <w:tcPr>
            <w:tcW w:w="103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69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47</w:t>
            </w:r>
          </w:p>
        </w:tc>
        <w:tc>
          <w:tcPr>
            <w:tcW w:w="1370" w:type="dxa"/>
            <w:gridSpan w:val="2"/>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VI基础设计</w:t>
            </w:r>
          </w:p>
        </w:tc>
        <w:tc>
          <w:tcPr>
            <w:tcW w:w="44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企业标准字体</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90"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48</w:t>
            </w:r>
          </w:p>
        </w:tc>
        <w:tc>
          <w:tcPr>
            <w:tcW w:w="1370" w:type="dxa"/>
            <w:gridSpan w:val="2"/>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4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企业标准色</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9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49</w:t>
            </w:r>
          </w:p>
        </w:tc>
        <w:tc>
          <w:tcPr>
            <w:tcW w:w="1370" w:type="dxa"/>
            <w:gridSpan w:val="2"/>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4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基本要素组合规范</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90"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w:t>
            </w:r>
          </w:p>
        </w:tc>
        <w:tc>
          <w:tcPr>
            <w:tcW w:w="1370" w:type="dxa"/>
            <w:gridSpan w:val="2"/>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44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logo基础延展</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90"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51</w:t>
            </w:r>
          </w:p>
        </w:tc>
        <w:tc>
          <w:tcPr>
            <w:tcW w:w="1370" w:type="dxa"/>
            <w:gridSpan w:val="2"/>
            <w:vMerge w:val="continue"/>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物料延展画面设计执行费</w:t>
            </w:r>
          </w:p>
        </w:tc>
        <w:tc>
          <w:tcPr>
            <w:tcW w:w="449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KV画面1-2幅，及表格内广告位上画面延展广告设计</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69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w:t>
            </w:r>
          </w:p>
        </w:tc>
        <w:tc>
          <w:tcPr>
            <w:tcW w:w="1370" w:type="dxa"/>
            <w:gridSpan w:val="2"/>
            <w:vMerge w:val="restart"/>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其他</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墙面修复费用</w:t>
            </w:r>
          </w:p>
        </w:tc>
        <w:tc>
          <w:tcPr>
            <w:tcW w:w="4490" w:type="dxa"/>
            <w:gridSpan w:val="2"/>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部分画面拆除损坏墙面修复</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51</w:t>
            </w:r>
          </w:p>
        </w:tc>
        <w:tc>
          <w:tcPr>
            <w:tcW w:w="1370" w:type="dxa"/>
            <w:gridSpan w:val="2"/>
            <w:vMerge w:val="continue"/>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吊车租赁费用</w:t>
            </w:r>
          </w:p>
        </w:tc>
        <w:tc>
          <w:tcPr>
            <w:tcW w:w="449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高空作业吊车</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690" w:type="dxa"/>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52</w:t>
            </w:r>
          </w:p>
        </w:tc>
        <w:tc>
          <w:tcPr>
            <w:tcW w:w="1370" w:type="dxa"/>
            <w:gridSpan w:val="2"/>
            <w:vMerge w:val="continue"/>
            <w:tcBorders>
              <w:top w:val="single" w:color="auto" w:sz="4" w:space="0"/>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撤画面人工费用</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上述旧物料拆除人工费用</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45</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人次</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53</w:t>
            </w:r>
          </w:p>
        </w:tc>
        <w:tc>
          <w:tcPr>
            <w:tcW w:w="1370" w:type="dxa"/>
            <w:gridSpan w:val="2"/>
            <w:vMerge w:val="continue"/>
            <w:tcBorders>
              <w:top w:val="nil"/>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安装人工费用</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新制作物料安装人工费用</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人次</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690" w:type="dxa"/>
            <w:tcBorders>
              <w:top w:val="nil"/>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54</w:t>
            </w:r>
          </w:p>
        </w:tc>
        <w:tc>
          <w:tcPr>
            <w:tcW w:w="1370" w:type="dxa"/>
            <w:gridSpan w:val="2"/>
            <w:vMerge w:val="continue"/>
            <w:tcBorders>
              <w:top w:val="nil"/>
              <w:left w:val="single" w:color="auto"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运输费用</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垃圾清运</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车次</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6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55</w:t>
            </w:r>
          </w:p>
        </w:tc>
        <w:tc>
          <w:tcPr>
            <w:tcW w:w="1370" w:type="dxa"/>
            <w:gridSpan w:val="2"/>
            <w:vMerge w:val="continue"/>
            <w:tcBorders>
              <w:top w:val="nil"/>
              <w:left w:val="single" w:color="auto"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c>
          <w:tcPr>
            <w:tcW w:w="14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w:t>
            </w:r>
          </w:p>
        </w:tc>
        <w:tc>
          <w:tcPr>
            <w:tcW w:w="1970"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c>
          <w:tcPr>
            <w:tcW w:w="449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物料运输</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w:t>
            </w:r>
          </w:p>
        </w:tc>
        <w:tc>
          <w:tcPr>
            <w:tcW w:w="10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车次</w:t>
            </w:r>
          </w:p>
        </w:tc>
        <w:tc>
          <w:tcPr>
            <w:tcW w:w="10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c>
          <w:tcPr>
            <w:tcW w:w="1040"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56</w:t>
            </w:r>
          </w:p>
        </w:tc>
        <w:tc>
          <w:tcPr>
            <w:tcW w:w="123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合计（含税）</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57</w:t>
            </w:r>
          </w:p>
        </w:tc>
        <w:tc>
          <w:tcPr>
            <w:tcW w:w="33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完工期限</w:t>
            </w:r>
          </w:p>
        </w:tc>
        <w:tc>
          <w:tcPr>
            <w:tcW w:w="9990" w:type="dxa"/>
            <w:gridSpan w:val="8"/>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58</w:t>
            </w:r>
          </w:p>
        </w:tc>
        <w:tc>
          <w:tcPr>
            <w:tcW w:w="33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质保期</w:t>
            </w:r>
          </w:p>
        </w:tc>
        <w:tc>
          <w:tcPr>
            <w:tcW w:w="9990" w:type="dxa"/>
            <w:gridSpan w:val="8"/>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59</w:t>
            </w:r>
          </w:p>
        </w:tc>
        <w:tc>
          <w:tcPr>
            <w:tcW w:w="33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开票方式</w:t>
            </w:r>
          </w:p>
        </w:tc>
        <w:tc>
          <w:tcPr>
            <w:tcW w:w="9990" w:type="dxa"/>
            <w:gridSpan w:val="8"/>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60</w:t>
            </w:r>
          </w:p>
        </w:tc>
        <w:tc>
          <w:tcPr>
            <w:tcW w:w="33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付款方式</w:t>
            </w:r>
          </w:p>
        </w:tc>
        <w:tc>
          <w:tcPr>
            <w:tcW w:w="9990" w:type="dxa"/>
            <w:gridSpan w:val="8"/>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61</w:t>
            </w:r>
          </w:p>
        </w:tc>
        <w:tc>
          <w:tcPr>
            <w:tcW w:w="3356"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其他</w:t>
            </w:r>
          </w:p>
        </w:tc>
        <w:tc>
          <w:tcPr>
            <w:tcW w:w="9990" w:type="dxa"/>
            <w:gridSpan w:val="8"/>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p>
        </w:tc>
      </w:tr>
    </w:tbl>
    <w:p>
      <w:pPr>
        <w:rPr>
          <w:rFonts w:hint="eastAsia" w:ascii="宋体" w:hAnsi="宋体"/>
          <w:color w:val="000000"/>
          <w:sz w:val="28"/>
          <w:szCs w:val="28"/>
          <w:u w:val="single"/>
        </w:rPr>
      </w:pPr>
    </w:p>
    <w:p>
      <w:pPr>
        <w:rPr>
          <w:rFonts w:ascii="宋体" w:hAnsi="宋体"/>
          <w:color w:val="000000"/>
          <w:sz w:val="28"/>
          <w:szCs w:val="28"/>
        </w:rPr>
      </w:pPr>
      <w:r>
        <w:rPr>
          <w:rFonts w:hint="eastAsia" w:ascii="宋体" w:hAnsi="宋体"/>
          <w:color w:val="000000"/>
          <w:sz w:val="28"/>
          <w:szCs w:val="28"/>
        </w:rPr>
        <w:t>注：所有价格均用人民币表示，单位为元，精确到小数点后2位。</w:t>
      </w:r>
    </w:p>
    <w:p>
      <w:pPr>
        <w:rPr>
          <w:rFonts w:hint="eastAsia" w:ascii="宋体" w:hAnsi="宋体"/>
          <w:color w:val="000000"/>
          <w:sz w:val="28"/>
          <w:szCs w:val="28"/>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rPr>
        <w:t>磋商供应商名称（签章）：</w:t>
      </w: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hint="eastAsia" w:ascii="宋体" w:hAnsi="宋体" w:eastAsia="宋体" w:cs="宋体"/>
          <w:b/>
          <w:color w:val="000000"/>
          <w:szCs w:val="21"/>
        </w:rPr>
        <w:sectPr>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p>
      <w:pPr>
        <w:spacing w:line="300" w:lineRule="auto"/>
        <w:rPr>
          <w:rFonts w:hint="eastAsia" w:ascii="宋体" w:hAnsi="宋体" w:cs="宋体"/>
          <w:b/>
          <w:color w:val="000000"/>
          <w:szCs w:val="21"/>
          <w:lang w:val="en-US" w:eastAsia="zh-CN"/>
        </w:rPr>
      </w:pPr>
      <w:r>
        <w:rPr>
          <w:rFonts w:hint="eastAsia" w:ascii="宋体" w:hAnsi="宋体" w:cs="宋体"/>
          <w:b/>
          <w:color w:val="000000"/>
          <w:szCs w:val="21"/>
          <w:lang w:val="en-US" w:eastAsia="zh-CN"/>
        </w:rPr>
        <w:t>附件三</w:t>
      </w:r>
    </w:p>
    <w:p>
      <w:pPr>
        <w:spacing w:line="300" w:lineRule="auto"/>
        <w:rPr>
          <w:rFonts w:hint="eastAsia" w:ascii="宋体" w:hAnsi="宋体" w:cs="宋体"/>
          <w:b/>
          <w:color w:val="000000"/>
          <w:szCs w:val="21"/>
          <w:lang w:val="en-US" w:eastAsia="zh-CN"/>
        </w:rPr>
      </w:pPr>
      <w:r>
        <w:rPr>
          <w:rFonts w:hint="eastAsia" w:ascii="宋体" w:hAnsi="宋体" w:cs="宋体"/>
          <w:b/>
          <w:color w:val="000000"/>
          <w:szCs w:val="21"/>
          <w:lang w:val="en-US" w:eastAsia="zh-CN"/>
        </w:rPr>
        <w:t xml:space="preserve"> </w:t>
      </w:r>
    </w:p>
    <w:p>
      <w:pPr>
        <w:spacing w:line="30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营业</w:t>
      </w:r>
      <w:r>
        <w:rPr>
          <w:rFonts w:hint="eastAsia" w:ascii="宋体" w:hAnsi="宋体" w:eastAsia="宋体" w:cs="宋体"/>
          <w:b/>
          <w:color w:val="000000"/>
          <w:sz w:val="21"/>
          <w:szCs w:val="21"/>
          <w:lang w:val="en-US" w:eastAsia="zh-CN"/>
        </w:rPr>
        <w:t>执照</w:t>
      </w:r>
      <w:r>
        <w:rPr>
          <w:rFonts w:hint="eastAsia" w:ascii="宋体" w:hAnsi="宋体" w:eastAsia="宋体" w:cs="宋体"/>
          <w:b/>
          <w:color w:val="000000"/>
          <w:sz w:val="21"/>
          <w:szCs w:val="21"/>
        </w:rPr>
        <w:t>复印件</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加盖公章）</w:t>
      </w:r>
    </w:p>
    <w:p>
      <w:pPr>
        <w:spacing w:line="300" w:lineRule="auto"/>
        <w:jc w:val="center"/>
        <w:rPr>
          <w:rFonts w:hint="eastAsia" w:ascii="宋体" w:hAnsi="宋体" w:cs="宋体"/>
          <w:b/>
          <w:color w:val="000000"/>
          <w:szCs w:val="21"/>
          <w:lang w:val="en-US" w:eastAsia="zh-CN"/>
        </w:rPr>
      </w:pPr>
      <w:r>
        <w:rPr>
          <w:rFonts w:hint="eastAsia" w:ascii="宋体" w:hAnsi="宋体" w:cs="宋体"/>
          <w:b/>
          <w:color w:val="000000"/>
          <w:szCs w:val="21"/>
          <w:lang w:val="en-US" w:eastAsia="zh-CN"/>
        </w:rPr>
        <w:t>法定代表人证明书原件（附法定代表人身份证复印件）</w:t>
      </w:r>
    </w:p>
    <w:p>
      <w:pPr>
        <w:spacing w:line="300" w:lineRule="auto"/>
        <w:jc w:val="center"/>
        <w:rPr>
          <w:rFonts w:hint="default" w:ascii="宋体" w:hAnsi="宋体" w:cs="宋体"/>
          <w:b/>
          <w:color w:val="000000"/>
          <w:szCs w:val="21"/>
          <w:lang w:val="en-US" w:eastAsia="zh-CN"/>
        </w:rPr>
      </w:pPr>
      <w:r>
        <w:rPr>
          <w:rFonts w:hint="eastAsia" w:ascii="宋体" w:hAnsi="宋体" w:cs="宋体"/>
          <w:b/>
          <w:color w:val="000000"/>
          <w:szCs w:val="21"/>
          <w:lang w:val="en-US" w:eastAsia="zh-CN"/>
        </w:rPr>
        <w:t>项目施工</w:t>
      </w:r>
      <w:bookmarkStart w:id="8" w:name="_GoBack"/>
      <w:bookmarkEnd w:id="8"/>
      <w:r>
        <w:rPr>
          <w:rFonts w:hint="eastAsia" w:ascii="宋体" w:hAnsi="宋体" w:cs="宋体"/>
          <w:b/>
          <w:color w:val="000000"/>
          <w:szCs w:val="21"/>
          <w:lang w:val="en-US" w:eastAsia="zh-CN"/>
        </w:rPr>
        <w:t>人员高空作业证复印件</w:t>
      </w: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eastAsia" w:ascii="宋体" w:hAnsi="宋体" w:cs="宋体"/>
          <w:b/>
          <w:color w:val="000000"/>
          <w:szCs w:val="21"/>
          <w:lang w:val="en-US" w:eastAsia="zh-CN"/>
        </w:rPr>
      </w:pPr>
    </w:p>
    <w:p>
      <w:pPr>
        <w:spacing w:line="300" w:lineRule="auto"/>
        <w:jc w:val="center"/>
        <w:rPr>
          <w:rFonts w:hint="default" w:ascii="宋体" w:hAnsi="宋体" w:cs="宋体"/>
          <w:b/>
          <w:color w:val="000000"/>
          <w:szCs w:val="21"/>
          <w:lang w:val="en-US" w:eastAsia="zh-CN"/>
        </w:rPr>
      </w:pPr>
    </w:p>
    <w:p>
      <w:pPr>
        <w:spacing w:line="300" w:lineRule="auto"/>
        <w:rPr>
          <w:rFonts w:hint="eastAsia" w:ascii="宋体" w:hAnsi="宋体" w:cs="宋体"/>
          <w:b/>
          <w:color w:val="000000"/>
          <w:szCs w:val="21"/>
        </w:rPr>
      </w:pPr>
      <w:r>
        <w:rPr>
          <w:rFonts w:hint="eastAsia" w:ascii="宋体" w:hAnsi="宋体" w:cs="宋体"/>
          <w:b/>
          <w:color w:val="000000"/>
          <w:szCs w:val="21"/>
        </w:rPr>
        <w:t>附件四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eastAsia="仿宋_GB2312" w:cs="仿宋_GB2312"/>
          <w:kern w:val="0"/>
          <w:sz w:val="28"/>
          <w:szCs w:val="28"/>
          <w:u w:val="single"/>
        </w:rPr>
        <w:t>（采购人名称）</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3"/>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2"/>
        <w:spacing w:line="300" w:lineRule="auto"/>
        <w:rPr>
          <w:rFonts w:ascii="仿宋_GB2312" w:hAnsi="宋体" w:eastAsia="仿宋_GB2312"/>
          <w:color w:val="000000"/>
          <w:kern w:val="2"/>
          <w:sz w:val="24"/>
          <w:szCs w:val="24"/>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Ansi="宋体"/>
          <w:b/>
          <w:color w:val="000000"/>
        </w:rPr>
      </w:pPr>
    </w:p>
    <w:p>
      <w:pPr>
        <w:pStyle w:val="12"/>
        <w:spacing w:line="300" w:lineRule="auto"/>
        <w:rPr>
          <w:rFonts w:hint="eastAsia" w:hAnsi="宋体"/>
          <w:b/>
          <w:color w:val="000000"/>
        </w:rPr>
      </w:pPr>
    </w:p>
    <w:p>
      <w:pPr>
        <w:pStyle w:val="12"/>
        <w:spacing w:line="300" w:lineRule="auto"/>
        <w:rPr>
          <w:rFonts w:hint="eastAsia" w:hAnsi="宋体" w:eastAsia="宋体"/>
          <w:b/>
          <w:color w:val="000000"/>
          <w:lang w:val="en-US" w:eastAsia="zh-CN"/>
        </w:rPr>
      </w:pPr>
      <w:r>
        <w:rPr>
          <w:rFonts w:hint="eastAsia" w:hAnsi="宋体"/>
          <w:b/>
          <w:color w:val="000000"/>
        </w:rPr>
        <w:t>附件</w:t>
      </w:r>
      <w:r>
        <w:rPr>
          <w:rFonts w:hint="eastAsia" w:hAnsi="宋体"/>
          <w:b/>
          <w:color w:val="000000"/>
          <w:lang w:val="en-US" w:eastAsia="zh-CN"/>
        </w:rPr>
        <w:t>五</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w:t>
      </w:r>
      <w:r>
        <w:rPr>
          <w:rFonts w:hint="eastAsia" w:ascii="仿宋_GB2312" w:eastAsia="仿宋_GB2312" w:cs="仿宋_GB2312"/>
          <w:kern w:val="0"/>
          <w:sz w:val="28"/>
          <w:szCs w:val="28"/>
          <w:lang w:val="en-US" w:eastAsia="zh-CN"/>
        </w:rPr>
        <w:t>南博国际会展有限责任公司</w:t>
      </w:r>
      <w:r>
        <w:rPr>
          <w:rFonts w:hint="eastAsia" w:ascii="仿宋_GB2312" w:eastAsia="仿宋_GB2312" w:cs="仿宋_GB2312"/>
          <w:kern w:val="0"/>
          <w:sz w:val="28"/>
          <w:szCs w:val="28"/>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w:t>
      </w:r>
      <w:r>
        <w:rPr>
          <w:rFonts w:hint="eastAsia" w:ascii="仿宋_GB2312" w:eastAsia="仿宋_GB2312" w:cs="仿宋_GB2312"/>
          <w:kern w:val="0"/>
          <w:sz w:val="28"/>
          <w:szCs w:val="28"/>
          <w:lang w:val="en-US" w:eastAsia="zh-CN"/>
        </w:rPr>
        <w:t>0771-2212637</w:t>
      </w:r>
      <w:r>
        <w:rPr>
          <w:rFonts w:hint="eastAsia" w:ascii="仿宋_GB2312" w:eastAsia="仿宋_GB2312" w:cs="仿宋_GB2312"/>
          <w:kern w:val="0"/>
          <w:sz w:val="28"/>
          <w:szCs w:val="28"/>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2"/>
        <w:spacing w:line="400" w:lineRule="exact"/>
        <w:rPr>
          <w:rFonts w:ascii="仿宋_GB2312" w:hAnsi="Times New Roman" w:eastAsia="仿宋_GB2312" w:cs="仿宋_GB2312"/>
          <w:sz w:val="28"/>
          <w:szCs w:val="28"/>
        </w:rPr>
      </w:pPr>
      <w:r>
        <w:rPr>
          <w:rFonts w:hint="eastAsia" w:ascii="仿宋_GB2312" w:hAnsi="Times New Roman" w:eastAsia="仿宋_GB2312" w:cs="仿宋_GB2312"/>
          <w:sz w:val="28"/>
          <w:szCs w:val="28"/>
        </w:rPr>
        <w:t xml:space="preserve">                                日期：   年  月  日</w:t>
      </w:r>
    </w:p>
    <w:p>
      <w:pPr>
        <w:rPr>
          <w:rFonts w:eastAsia="仿宋_GB2312"/>
          <w:sz w:val="30"/>
          <w:szCs w:val="30"/>
        </w:rPr>
      </w:pPr>
    </w:p>
    <w:p>
      <w:pPr>
        <w:pStyle w:val="12"/>
        <w:spacing w:line="300" w:lineRule="auto"/>
        <w:rPr>
          <w:rFonts w:hint="eastAsia" w:hAnsi="宋体"/>
          <w:b/>
          <w:color w:val="000000"/>
          <w:lang w:val="en-US" w:eastAsia="zh-CN"/>
        </w:rPr>
      </w:pPr>
      <w:r>
        <w:rPr>
          <w:rFonts w:hint="eastAsia" w:hAnsi="宋体"/>
          <w:b/>
          <w:color w:val="000000"/>
        </w:rPr>
        <w:t>附件</w:t>
      </w:r>
      <w:r>
        <w:rPr>
          <w:rFonts w:hint="eastAsia" w:hAnsi="宋体"/>
          <w:b/>
          <w:color w:val="000000"/>
          <w:lang w:val="en-US" w:eastAsia="zh-CN"/>
        </w:rPr>
        <w:t>六</w:t>
      </w:r>
    </w:p>
    <w:p>
      <w:pPr>
        <w:pStyle w:val="12"/>
        <w:spacing w:line="300" w:lineRule="auto"/>
        <w:rPr>
          <w:rFonts w:hint="eastAsia" w:hAnsi="宋体"/>
          <w:b/>
          <w:color w:val="000000"/>
          <w:lang w:val="en-US" w:eastAsia="zh-CN"/>
        </w:rPr>
      </w:pPr>
    </w:p>
    <w:p>
      <w:pPr>
        <w:pStyle w:val="12"/>
        <w:spacing w:line="300" w:lineRule="auto"/>
        <w:jc w:val="center"/>
        <w:rPr>
          <w:rFonts w:hint="eastAsia" w:hAnsi="宋体"/>
          <w:b/>
          <w:color w:val="000000"/>
          <w:lang w:val="en-US" w:eastAsia="zh-CN"/>
        </w:rPr>
      </w:pPr>
      <w:r>
        <w:rPr>
          <w:rFonts w:hint="eastAsia" w:hAnsi="宋体"/>
          <w:b/>
          <w:color w:val="000000"/>
          <w:lang w:val="en-US" w:eastAsia="zh-CN"/>
        </w:rPr>
        <w:t>设计方案文字稿及设计效果图</w:t>
      </w: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rPr>
          <w:rFonts w:hint="eastAsia" w:hAnsi="宋体"/>
          <w:b/>
          <w:color w:val="000000"/>
          <w:lang w:val="en-US" w:eastAsia="zh-CN"/>
        </w:rPr>
      </w:pPr>
      <w:r>
        <w:rPr>
          <w:rFonts w:hint="eastAsia" w:hAnsi="宋体"/>
          <w:b/>
          <w:color w:val="000000"/>
        </w:rPr>
        <w:t>附件</w:t>
      </w:r>
      <w:r>
        <w:rPr>
          <w:rFonts w:hint="eastAsia" w:hAnsi="宋体"/>
          <w:b/>
          <w:color w:val="000000"/>
          <w:lang w:val="en-US" w:eastAsia="zh-CN"/>
        </w:rPr>
        <w:t>七</w:t>
      </w:r>
    </w:p>
    <w:p>
      <w:pPr>
        <w:pStyle w:val="12"/>
        <w:spacing w:line="300" w:lineRule="auto"/>
        <w:rPr>
          <w:rFonts w:hint="eastAsia" w:hAnsi="宋体"/>
          <w:b/>
          <w:color w:val="000000"/>
          <w:lang w:val="en-US" w:eastAsia="zh-CN"/>
        </w:rPr>
      </w:pPr>
    </w:p>
    <w:p>
      <w:pPr>
        <w:pStyle w:val="12"/>
        <w:spacing w:line="300" w:lineRule="auto"/>
        <w:jc w:val="center"/>
        <w:rPr>
          <w:rFonts w:hint="eastAsia" w:hAnsi="宋体"/>
          <w:b/>
          <w:color w:val="000000"/>
          <w:lang w:val="en-US" w:eastAsia="zh-CN"/>
        </w:rPr>
      </w:pPr>
      <w:r>
        <w:rPr>
          <w:rFonts w:hint="eastAsia" w:hAnsi="宋体"/>
          <w:b/>
          <w:color w:val="000000"/>
          <w:lang w:val="en-US" w:eastAsia="zh-CN"/>
        </w:rPr>
        <w:t>项目执行方案</w:t>
      </w: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rPr>
          <w:rFonts w:hint="eastAsia" w:hAnsi="宋体"/>
          <w:b/>
          <w:color w:val="000000"/>
          <w:lang w:val="en-US" w:eastAsia="zh-CN"/>
        </w:rPr>
      </w:pPr>
      <w:r>
        <w:rPr>
          <w:rFonts w:hint="eastAsia" w:hAnsi="宋体"/>
          <w:b/>
          <w:color w:val="000000"/>
        </w:rPr>
        <w:t>附件</w:t>
      </w:r>
      <w:r>
        <w:rPr>
          <w:rFonts w:hint="eastAsia" w:hAnsi="宋体"/>
          <w:b/>
          <w:color w:val="000000"/>
          <w:lang w:val="en-US" w:eastAsia="zh-CN"/>
        </w:rPr>
        <w:t>八</w:t>
      </w:r>
    </w:p>
    <w:p>
      <w:pPr>
        <w:pStyle w:val="12"/>
        <w:spacing w:line="300" w:lineRule="auto"/>
        <w:rPr>
          <w:rFonts w:hint="eastAsia" w:hAnsi="宋体"/>
          <w:b/>
          <w:color w:val="000000"/>
          <w:lang w:val="en-US" w:eastAsia="zh-CN"/>
        </w:rPr>
      </w:pPr>
    </w:p>
    <w:p>
      <w:pPr>
        <w:pStyle w:val="12"/>
        <w:spacing w:line="300" w:lineRule="auto"/>
        <w:jc w:val="center"/>
        <w:rPr>
          <w:rFonts w:hint="default" w:hAnsi="宋体"/>
          <w:b/>
          <w:color w:val="000000"/>
          <w:lang w:val="en-US" w:eastAsia="zh-CN"/>
        </w:rPr>
      </w:pPr>
      <w:r>
        <w:rPr>
          <w:rFonts w:hint="eastAsia" w:hAnsi="宋体"/>
          <w:b/>
          <w:color w:val="000000"/>
          <w:lang w:val="en-US" w:eastAsia="zh-CN"/>
        </w:rPr>
        <w:t>相关案例及业绩（附中标通知书或合同复印件为证，原件备查）</w:t>
      </w: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eastAsia" w:hAnsi="宋体"/>
          <w:b/>
          <w:color w:val="000000"/>
          <w:lang w:val="en-US" w:eastAsia="zh-CN"/>
        </w:rPr>
      </w:pPr>
    </w:p>
    <w:p>
      <w:pPr>
        <w:pStyle w:val="12"/>
        <w:spacing w:line="300" w:lineRule="auto"/>
        <w:jc w:val="center"/>
        <w:rPr>
          <w:rFonts w:hint="default" w:hAnsi="宋体"/>
          <w:b/>
          <w:color w:val="000000"/>
          <w:lang w:val="en-US" w:eastAsia="zh-CN"/>
        </w:rPr>
      </w:pPr>
    </w:p>
    <w:p>
      <w:pPr>
        <w:pStyle w:val="12"/>
        <w:spacing w:line="300" w:lineRule="auto"/>
        <w:rPr>
          <w:rFonts w:hint="default" w:hAnsi="宋体"/>
          <w:b/>
          <w:color w:val="000000"/>
          <w:lang w:val="en-US" w:eastAsia="zh-CN"/>
        </w:rPr>
      </w:pPr>
    </w:p>
    <w:p>
      <w:pPr>
        <w:rPr>
          <w:rFonts w:hint="default" w:eastAsia="仿宋_GB2312"/>
          <w:sz w:val="30"/>
          <w:szCs w:val="30"/>
          <w:lang w:val="en-US" w:eastAsia="zh-CN"/>
        </w:rPr>
      </w:pPr>
    </w:p>
    <w:tbl>
      <w:tblPr>
        <w:tblStyle w:val="2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834"/>
        <w:gridCol w:w="751"/>
        <w:gridCol w:w="491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30" w:type="dxa"/>
            <w:gridSpan w:val="5"/>
          </w:tcPr>
          <w:p>
            <w:pPr>
              <w:jc w:val="center"/>
              <w:rPr>
                <w:rFonts w:eastAsia="仿宋_GB2312"/>
                <w:b/>
                <w:sz w:val="24"/>
              </w:rPr>
            </w:pPr>
            <w:r>
              <w:rPr>
                <w:rFonts w:hint="eastAsia" w:eastAsia="仿宋_GB2312"/>
                <w:b/>
                <w:sz w:val="24"/>
                <w:lang w:val="en-US" w:eastAsia="zh-CN"/>
              </w:rPr>
              <w:t>会展城商业中心VI及标识设计更换等施工一体化服务项目</w:t>
            </w:r>
            <w:r>
              <w:rPr>
                <w:rFonts w:hint="eastAsia" w:eastAsia="仿宋_GB2312"/>
                <w:b/>
                <w:sz w:val="24"/>
              </w:rPr>
              <w:t>评标计分表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10" w:type="dxa"/>
            <w:gridSpan w:val="2"/>
          </w:tcPr>
          <w:p>
            <w:pPr>
              <w:jc w:val="center"/>
              <w:rPr>
                <w:rFonts w:eastAsia="仿宋_GB2312"/>
                <w:sz w:val="24"/>
              </w:rPr>
            </w:pPr>
            <w:r>
              <w:rPr>
                <w:rFonts w:hint="eastAsia" w:eastAsia="仿宋_GB2312"/>
                <w:sz w:val="24"/>
              </w:rPr>
              <w:t>评分内容</w:t>
            </w:r>
          </w:p>
        </w:tc>
        <w:tc>
          <w:tcPr>
            <w:tcW w:w="751" w:type="dxa"/>
          </w:tcPr>
          <w:p>
            <w:pPr>
              <w:jc w:val="center"/>
              <w:rPr>
                <w:rFonts w:eastAsia="仿宋_GB2312"/>
                <w:sz w:val="24"/>
              </w:rPr>
            </w:pPr>
            <w:r>
              <w:rPr>
                <w:rFonts w:hint="eastAsia" w:eastAsia="仿宋_GB2312"/>
                <w:sz w:val="24"/>
              </w:rPr>
              <w:t>分值</w:t>
            </w:r>
          </w:p>
        </w:tc>
        <w:tc>
          <w:tcPr>
            <w:tcW w:w="4919" w:type="dxa"/>
          </w:tcPr>
          <w:p>
            <w:pPr>
              <w:jc w:val="center"/>
              <w:rPr>
                <w:rFonts w:eastAsia="仿宋_GB2312"/>
                <w:sz w:val="24"/>
              </w:rPr>
            </w:pPr>
            <w:r>
              <w:rPr>
                <w:rFonts w:hint="eastAsia" w:eastAsia="仿宋_GB2312"/>
                <w:sz w:val="24"/>
              </w:rPr>
              <w:t>计分标准</w:t>
            </w:r>
          </w:p>
        </w:tc>
        <w:tc>
          <w:tcPr>
            <w:tcW w:w="850" w:type="dxa"/>
          </w:tcPr>
          <w:p>
            <w:pPr>
              <w:jc w:val="center"/>
              <w:rPr>
                <w:rFonts w:eastAsia="仿宋_GB2312"/>
                <w:sz w:val="24"/>
              </w:rPr>
            </w:pPr>
            <w:r>
              <w:rPr>
                <w:rFonts w:hint="eastAsia" w:eastAsia="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2410" w:type="dxa"/>
            <w:gridSpan w:val="2"/>
            <w:vAlign w:val="center"/>
          </w:tcPr>
          <w:p>
            <w:pPr>
              <w:jc w:val="center"/>
              <w:rPr>
                <w:rFonts w:eastAsia="仿宋_GB2312"/>
                <w:sz w:val="24"/>
              </w:rPr>
            </w:pPr>
            <w:r>
              <w:rPr>
                <w:rFonts w:hint="eastAsia" w:eastAsia="仿宋_GB2312"/>
                <w:sz w:val="24"/>
              </w:rPr>
              <w:t>1、投标报价</w:t>
            </w:r>
          </w:p>
        </w:tc>
        <w:tc>
          <w:tcPr>
            <w:tcW w:w="751" w:type="dxa"/>
            <w:vAlign w:val="center"/>
          </w:tcPr>
          <w:p>
            <w:pPr>
              <w:jc w:val="center"/>
              <w:rPr>
                <w:rFonts w:hint="default" w:eastAsia="仿宋_GB2312"/>
                <w:b/>
                <w:bCs/>
                <w:sz w:val="24"/>
                <w:lang w:val="en-US" w:eastAsia="zh-CN"/>
              </w:rPr>
            </w:pPr>
            <w:r>
              <w:rPr>
                <w:rFonts w:hint="eastAsia" w:eastAsia="仿宋_GB2312"/>
                <w:b/>
                <w:bCs/>
                <w:sz w:val="24"/>
                <w:lang w:val="en-US" w:eastAsia="zh-CN"/>
              </w:rPr>
              <w:t>30</w:t>
            </w:r>
          </w:p>
        </w:tc>
        <w:tc>
          <w:tcPr>
            <w:tcW w:w="4919" w:type="dxa"/>
          </w:tcPr>
          <w:p>
            <w:pPr>
              <w:rPr>
                <w:rFonts w:ascii="仿宋_GB2312" w:eastAsia="仿宋_GB2312"/>
                <w:sz w:val="24"/>
              </w:rPr>
            </w:pPr>
            <w:r>
              <w:rPr>
                <w:rFonts w:hint="eastAsia" w:ascii="仿宋_GB2312" w:eastAsia="仿宋_GB2312"/>
                <w:sz w:val="24"/>
              </w:rPr>
              <w:t>取各评标价格的算术平均值作为基准价格。投标人的评标价格等于评标基准价格的为满分（基准分），投标人的评标价格每高于评标基准价格1%的减1分，直至减至0分；投标人的评标价格每低于评标基准价格1%的加1分。</w:t>
            </w:r>
          </w:p>
        </w:tc>
        <w:tc>
          <w:tcPr>
            <w:tcW w:w="850" w:type="dxa"/>
          </w:tcPr>
          <w:p>
            <w:pP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76" w:type="dxa"/>
            <w:vMerge w:val="restart"/>
            <w:vAlign w:val="center"/>
          </w:tcPr>
          <w:p>
            <w:pPr>
              <w:jc w:val="center"/>
              <w:rPr>
                <w:rFonts w:eastAsia="仿宋_GB2312"/>
                <w:sz w:val="24"/>
              </w:rPr>
            </w:pPr>
            <w:r>
              <w:rPr>
                <w:rFonts w:hint="eastAsia" w:eastAsia="仿宋_GB2312"/>
                <w:sz w:val="24"/>
              </w:rPr>
              <w:t>2、方案设计</w:t>
            </w:r>
          </w:p>
        </w:tc>
        <w:tc>
          <w:tcPr>
            <w:tcW w:w="1834" w:type="dxa"/>
            <w:vAlign w:val="center"/>
          </w:tcPr>
          <w:p>
            <w:pPr>
              <w:jc w:val="center"/>
              <w:rPr>
                <w:rFonts w:eastAsia="仿宋_GB2312"/>
                <w:sz w:val="24"/>
              </w:rPr>
            </w:pPr>
            <w:r>
              <w:rPr>
                <w:rFonts w:hint="eastAsia" w:eastAsia="仿宋_GB2312"/>
                <w:sz w:val="24"/>
              </w:rPr>
              <w:t>企业品牌形象主题概念挖掘和阐释</w:t>
            </w:r>
          </w:p>
        </w:tc>
        <w:tc>
          <w:tcPr>
            <w:tcW w:w="751" w:type="dxa"/>
            <w:vAlign w:val="center"/>
          </w:tcPr>
          <w:p>
            <w:pPr>
              <w:jc w:val="center"/>
              <w:rPr>
                <w:rFonts w:hint="default" w:eastAsia="仿宋_GB2312"/>
                <w:b/>
                <w:bCs/>
                <w:sz w:val="24"/>
                <w:lang w:val="en-US" w:eastAsia="zh-CN"/>
              </w:rPr>
            </w:pPr>
            <w:r>
              <w:rPr>
                <w:rFonts w:hint="eastAsia" w:eastAsia="仿宋_GB2312"/>
                <w:b/>
                <w:bCs/>
                <w:sz w:val="24"/>
                <w:lang w:val="en-US" w:eastAsia="zh-CN"/>
              </w:rPr>
              <w:t>10</w:t>
            </w:r>
          </w:p>
        </w:tc>
        <w:tc>
          <w:tcPr>
            <w:tcW w:w="4919" w:type="dxa"/>
          </w:tcPr>
          <w:p>
            <w:pPr>
              <w:rPr>
                <w:rFonts w:hint="eastAsia" w:ascii="仿宋_GB2312" w:eastAsia="仿宋_GB2312"/>
                <w:sz w:val="24"/>
              </w:rPr>
            </w:pPr>
            <w:r>
              <w:rPr>
                <w:rFonts w:hint="eastAsia" w:ascii="仿宋_GB2312" w:eastAsia="仿宋_GB2312"/>
                <w:sz w:val="24"/>
              </w:rPr>
              <w:t xml:space="preserve">7-10分：主题概念提炼贴合企业品牌需求，定位合理清晰，文化内涵丰富深厚；                                </w:t>
            </w:r>
          </w:p>
          <w:p>
            <w:pPr>
              <w:rPr>
                <w:rFonts w:ascii="仿宋_GB2312" w:eastAsia="仿宋_GB2312"/>
                <w:sz w:val="24"/>
              </w:rPr>
            </w:pPr>
            <w:r>
              <w:rPr>
                <w:rFonts w:hint="eastAsia" w:ascii="仿宋_GB2312" w:eastAsia="仿宋_GB2312"/>
                <w:sz w:val="24"/>
              </w:rPr>
              <w:t>4-6分：主题概念提炼基本符合企业品牌需求，定位较清晰，有一定文化内涵；                                                                      1-3分：主题概念提炼基本符合企业品牌需求，但定位不够清晰，文化内涵不够丰富</w:t>
            </w:r>
            <w:r>
              <w:rPr>
                <w:rFonts w:eastAsia="仿宋_GB2312"/>
                <w:color w:val="C00000"/>
                <w:sz w:val="24"/>
              </w:rPr>
              <w:t>。</w:t>
            </w:r>
          </w:p>
        </w:tc>
        <w:tc>
          <w:tcPr>
            <w:tcW w:w="850" w:type="dxa"/>
          </w:tcPr>
          <w:p>
            <w:pP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76" w:type="dxa"/>
            <w:vMerge w:val="continue"/>
          </w:tcPr>
          <w:p>
            <w:pPr>
              <w:rPr>
                <w:rFonts w:eastAsia="仿宋_GB2312"/>
                <w:sz w:val="24"/>
              </w:rPr>
            </w:pPr>
          </w:p>
        </w:tc>
        <w:tc>
          <w:tcPr>
            <w:tcW w:w="1834" w:type="dxa"/>
            <w:vAlign w:val="center"/>
          </w:tcPr>
          <w:p>
            <w:pPr>
              <w:jc w:val="center"/>
              <w:rPr>
                <w:rFonts w:eastAsia="仿宋_GB2312"/>
                <w:sz w:val="24"/>
              </w:rPr>
            </w:pPr>
            <w:r>
              <w:rPr>
                <w:rFonts w:hint="eastAsia" w:eastAsia="仿宋_GB2312"/>
                <w:sz w:val="24"/>
              </w:rPr>
              <w:t>视觉表现力及辨识度</w:t>
            </w:r>
          </w:p>
        </w:tc>
        <w:tc>
          <w:tcPr>
            <w:tcW w:w="751" w:type="dxa"/>
            <w:vAlign w:val="center"/>
          </w:tcPr>
          <w:p>
            <w:pPr>
              <w:jc w:val="center"/>
              <w:rPr>
                <w:rFonts w:eastAsia="仿宋_GB2312"/>
                <w:b/>
                <w:bCs/>
                <w:sz w:val="24"/>
              </w:rPr>
            </w:pPr>
            <w:r>
              <w:rPr>
                <w:rFonts w:hint="eastAsia" w:eastAsia="仿宋_GB2312"/>
                <w:b/>
                <w:bCs/>
                <w:sz w:val="24"/>
                <w:lang w:val="en-US" w:eastAsia="zh-CN"/>
              </w:rPr>
              <w:t>3</w:t>
            </w:r>
            <w:r>
              <w:rPr>
                <w:rFonts w:hint="eastAsia" w:eastAsia="仿宋_GB2312"/>
                <w:b/>
                <w:bCs/>
                <w:sz w:val="24"/>
              </w:rPr>
              <w:t>0</w:t>
            </w:r>
          </w:p>
        </w:tc>
        <w:tc>
          <w:tcPr>
            <w:tcW w:w="4919" w:type="dxa"/>
          </w:tcPr>
          <w:p>
            <w:pPr>
              <w:jc w:val="left"/>
              <w:rPr>
                <w:rFonts w:ascii="仿宋_GB2312" w:eastAsia="仿宋_GB2312"/>
                <w:sz w:val="24"/>
              </w:rPr>
            </w:pPr>
            <w:r>
              <w:rPr>
                <w:rFonts w:hint="eastAsia" w:ascii="仿宋_GB2312" w:eastAsia="仿宋_GB2312"/>
                <w:sz w:val="24"/>
              </w:rPr>
              <w:t xml:space="preserve">21-30分：设计表现极具独创性，完全符合项目定位及形象，且留下深刻的品牌印象；                                                                   11-20分：设计表现具有一定的独创性，基本符合项目定位及形象，有一定品牌记忆；                                                               1-10分：设计表现一般，基本符合项目定位及形象，但记忆性不强。    </w:t>
            </w:r>
          </w:p>
        </w:tc>
        <w:tc>
          <w:tcPr>
            <w:tcW w:w="850" w:type="dxa"/>
          </w:tcPr>
          <w:p>
            <w:pP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2410" w:type="dxa"/>
            <w:gridSpan w:val="2"/>
            <w:vAlign w:val="center"/>
          </w:tcPr>
          <w:p>
            <w:pPr>
              <w:rPr>
                <w:rFonts w:ascii="仿宋_GB2312" w:eastAsia="仿宋_GB2312"/>
                <w:color w:val="auto"/>
                <w:sz w:val="24"/>
              </w:rPr>
            </w:pPr>
            <w:r>
              <w:rPr>
                <w:rFonts w:hint="eastAsia" w:ascii="仿宋_GB2312" w:eastAsia="仿宋_GB2312"/>
                <w:color w:val="auto"/>
                <w:sz w:val="24"/>
              </w:rPr>
              <w:t>3.</w:t>
            </w:r>
            <w:r>
              <w:rPr>
                <w:rFonts w:hint="eastAsia" w:eastAsia="仿宋_GB2312"/>
                <w:sz w:val="24"/>
              </w:rPr>
              <w:t>项目执行方案</w:t>
            </w:r>
          </w:p>
        </w:tc>
        <w:tc>
          <w:tcPr>
            <w:tcW w:w="751" w:type="dxa"/>
            <w:vAlign w:val="center"/>
          </w:tcPr>
          <w:p>
            <w:pPr>
              <w:jc w:val="center"/>
              <w:rPr>
                <w:rFonts w:hint="default" w:ascii="仿宋_GB2312" w:eastAsia="仿宋_GB2312"/>
                <w:color w:val="auto"/>
                <w:sz w:val="24"/>
                <w:lang w:val="en-US" w:eastAsia="zh-CN"/>
              </w:rPr>
            </w:pPr>
            <w:r>
              <w:rPr>
                <w:rFonts w:hint="eastAsia" w:ascii="仿宋_GB2312" w:eastAsia="仿宋_GB2312"/>
                <w:b/>
                <w:bCs/>
                <w:sz w:val="24"/>
                <w:lang w:val="en-US" w:eastAsia="zh-CN"/>
              </w:rPr>
              <w:t>12</w:t>
            </w:r>
          </w:p>
        </w:tc>
        <w:tc>
          <w:tcPr>
            <w:tcW w:w="4919" w:type="dxa"/>
            <w:vAlign w:val="center"/>
          </w:tcPr>
          <w:p>
            <w:pPr>
              <w:jc w:val="left"/>
              <w:rPr>
                <w:rFonts w:hint="eastAsia" w:ascii="仿宋_GB2312" w:eastAsia="仿宋_GB2312"/>
                <w:sz w:val="24"/>
              </w:rPr>
            </w:pPr>
            <w:r>
              <w:rPr>
                <w:rFonts w:hint="eastAsia" w:ascii="仿宋_GB2312" w:eastAsia="仿宋_GB2312"/>
                <w:sz w:val="24"/>
              </w:rPr>
              <w:t>9-12分：方案细致、合理、可行，有较好的施工进度计划和工期保证措施。</w:t>
            </w:r>
          </w:p>
          <w:p>
            <w:pPr>
              <w:jc w:val="left"/>
              <w:rPr>
                <w:rFonts w:hint="eastAsia" w:ascii="仿宋_GB2312" w:eastAsia="仿宋_GB2312"/>
                <w:sz w:val="24"/>
              </w:rPr>
            </w:pPr>
            <w:r>
              <w:rPr>
                <w:rFonts w:hint="eastAsia" w:ascii="仿宋_GB2312" w:eastAsia="仿宋_GB2312"/>
                <w:sz w:val="24"/>
              </w:rPr>
              <w:t>4-8分：方案比较细致、合理，保障措施较有力，有一定的施工进度计划及工期保证措施。</w:t>
            </w:r>
          </w:p>
          <w:p>
            <w:pPr>
              <w:jc w:val="left"/>
              <w:rPr>
                <w:rFonts w:hint="eastAsia" w:ascii="仿宋_GB2312" w:eastAsia="仿宋_GB2312"/>
                <w:sz w:val="24"/>
              </w:rPr>
            </w:pPr>
            <w:r>
              <w:rPr>
                <w:rFonts w:hint="eastAsia" w:ascii="仿宋_GB2312" w:eastAsia="仿宋_GB2312"/>
                <w:sz w:val="24"/>
              </w:rPr>
              <w:t>1-4分：方案基本合理，基本满足施工进度及工期保证。</w:t>
            </w:r>
          </w:p>
        </w:tc>
        <w:tc>
          <w:tcPr>
            <w:tcW w:w="850" w:type="dxa"/>
          </w:tcPr>
          <w:p>
            <w:pPr>
              <w:rPr>
                <w:rFonts w:eastAsia="仿宋_GB2312"/>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2410" w:type="dxa"/>
            <w:gridSpan w:val="2"/>
            <w:vAlign w:val="center"/>
          </w:tcPr>
          <w:p>
            <w:pPr>
              <w:rPr>
                <w:rFonts w:ascii="仿宋_GB2312" w:eastAsia="仿宋_GB2312"/>
                <w:sz w:val="24"/>
              </w:rPr>
            </w:pPr>
            <w:r>
              <w:rPr>
                <w:rFonts w:hint="eastAsia" w:ascii="仿宋_GB2312" w:eastAsia="仿宋_GB2312"/>
                <w:sz w:val="24"/>
              </w:rPr>
              <w:t>4.</w:t>
            </w:r>
            <w:r>
              <w:rPr>
                <w:rFonts w:hint="eastAsia" w:eastAsia="仿宋_GB2312"/>
                <w:sz w:val="24"/>
              </w:rPr>
              <w:t>相关案例及业绩</w:t>
            </w:r>
          </w:p>
        </w:tc>
        <w:tc>
          <w:tcPr>
            <w:tcW w:w="751" w:type="dxa"/>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18</w:t>
            </w:r>
          </w:p>
        </w:tc>
        <w:tc>
          <w:tcPr>
            <w:tcW w:w="4919" w:type="dxa"/>
            <w:vAlign w:val="center"/>
          </w:tcPr>
          <w:p>
            <w:pPr>
              <w:jc w:val="left"/>
              <w:rPr>
                <w:rFonts w:hint="eastAsia" w:ascii="仿宋_GB2312" w:eastAsia="仿宋_GB2312"/>
                <w:sz w:val="24"/>
              </w:rPr>
            </w:pPr>
            <w:r>
              <w:rPr>
                <w:rFonts w:hint="eastAsia" w:ascii="仿宋_GB2312" w:eastAsia="仿宋_GB2312"/>
                <w:sz w:val="24"/>
              </w:rPr>
              <w:t>2019年 1 月 1 日至今，投标人每完成一个大型商业综合体标识设计或美陈装置设计施工服务项目得 3 分，满分 18分（以中标通知书或合同复印件为证，原件备查）。</w:t>
            </w:r>
          </w:p>
        </w:tc>
        <w:tc>
          <w:tcPr>
            <w:tcW w:w="850" w:type="dxa"/>
          </w:tcPr>
          <w:p>
            <w:pP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410" w:type="dxa"/>
            <w:gridSpan w:val="2"/>
          </w:tcPr>
          <w:p>
            <w:pPr>
              <w:jc w:val="center"/>
              <w:rPr>
                <w:rFonts w:eastAsia="仿宋_GB2312"/>
                <w:b/>
                <w:bCs/>
                <w:sz w:val="24"/>
              </w:rPr>
            </w:pPr>
            <w:r>
              <w:rPr>
                <w:rFonts w:hint="eastAsia" w:eastAsia="仿宋_GB2312"/>
                <w:b/>
                <w:bCs/>
                <w:sz w:val="24"/>
              </w:rPr>
              <w:t>总得分</w:t>
            </w:r>
          </w:p>
        </w:tc>
        <w:tc>
          <w:tcPr>
            <w:tcW w:w="751" w:type="dxa"/>
            <w:vAlign w:val="center"/>
          </w:tcPr>
          <w:p>
            <w:pPr>
              <w:jc w:val="center"/>
              <w:rPr>
                <w:rFonts w:eastAsia="仿宋_GB2312"/>
                <w:b/>
                <w:bCs/>
                <w:sz w:val="24"/>
              </w:rPr>
            </w:pPr>
            <w:r>
              <w:rPr>
                <w:rFonts w:hint="eastAsia" w:eastAsia="仿宋_GB2312"/>
                <w:b/>
                <w:bCs/>
                <w:sz w:val="24"/>
              </w:rPr>
              <w:t>100</w:t>
            </w:r>
          </w:p>
        </w:tc>
        <w:tc>
          <w:tcPr>
            <w:tcW w:w="4919" w:type="dxa"/>
          </w:tcPr>
          <w:p>
            <w:pPr>
              <w:rPr>
                <w:rFonts w:eastAsia="仿宋_GB2312"/>
                <w:sz w:val="24"/>
              </w:rPr>
            </w:pPr>
            <w:r>
              <w:rPr>
                <w:rFonts w:hint="eastAsia" w:eastAsia="仿宋_GB2312"/>
                <w:sz w:val="24"/>
              </w:rPr>
              <w:t>　</w:t>
            </w:r>
          </w:p>
        </w:tc>
        <w:tc>
          <w:tcPr>
            <w:tcW w:w="850" w:type="dxa"/>
          </w:tcPr>
          <w:p>
            <w:pPr>
              <w:rPr>
                <w:rFonts w:eastAsia="仿宋_GB2312"/>
                <w:sz w:val="24"/>
              </w:rPr>
            </w:pPr>
            <w:r>
              <w:rPr>
                <w:rFonts w:hint="eastAsia" w:eastAsia="仿宋_GB2312"/>
                <w:sz w:val="24"/>
              </w:rPr>
              <w:t>　</w:t>
            </w:r>
          </w:p>
        </w:tc>
      </w:tr>
    </w:tbl>
    <w:p>
      <w:pPr>
        <w:pStyle w:val="12"/>
        <w:spacing w:line="520" w:lineRule="exact"/>
        <w:jc w:val="both"/>
        <w:rPr>
          <w:rFonts w:eastAsia="仿宋_GB2312"/>
          <w:b/>
          <w:bCs/>
          <w:color w:val="000000"/>
          <w:sz w:val="32"/>
          <w:szCs w:val="32"/>
        </w:rPr>
      </w:pPr>
    </w:p>
    <w:p>
      <w:pPr>
        <w:pStyle w:val="12"/>
        <w:spacing w:line="520" w:lineRule="exact"/>
        <w:jc w:val="both"/>
        <w:rPr>
          <w:rFonts w:eastAsia="仿宋_GB2312"/>
          <w:b/>
          <w:bCs/>
          <w:color w:val="000000"/>
          <w:sz w:val="32"/>
          <w:szCs w:val="32"/>
        </w:rPr>
      </w:pPr>
    </w:p>
    <w:p>
      <w:pPr>
        <w:pStyle w:val="12"/>
        <w:spacing w:line="520" w:lineRule="exact"/>
        <w:jc w:val="both"/>
        <w:rPr>
          <w:rFonts w:eastAsia="仿宋_GB2312"/>
          <w:b/>
          <w:bCs/>
          <w:color w:val="000000"/>
          <w:sz w:val="32"/>
          <w:szCs w:val="32"/>
        </w:rPr>
      </w:pPr>
    </w:p>
    <w:p>
      <w:pPr>
        <w:pStyle w:val="12"/>
        <w:spacing w:line="520" w:lineRule="exact"/>
        <w:ind w:firstLine="610" w:firstLineChars="190"/>
        <w:jc w:val="center"/>
        <w:rPr>
          <w:rFonts w:eastAsia="仿宋_GB2312"/>
          <w:b/>
          <w:bCs/>
          <w:color w:val="000000"/>
          <w:sz w:val="32"/>
          <w:szCs w:val="32"/>
        </w:rPr>
      </w:pPr>
    </w:p>
    <w:p>
      <w:pPr>
        <w:pStyle w:val="12"/>
        <w:spacing w:line="520" w:lineRule="exact"/>
        <w:ind w:firstLine="610" w:firstLineChars="190"/>
        <w:jc w:val="center"/>
        <w:rPr>
          <w:rFonts w:eastAsia="仿宋_GB2312"/>
          <w:b/>
          <w:bCs/>
          <w:color w:val="000000"/>
          <w:sz w:val="32"/>
          <w:szCs w:val="32"/>
        </w:rPr>
      </w:pPr>
    </w:p>
    <w:p>
      <w:pPr>
        <w:pStyle w:val="12"/>
        <w:spacing w:line="520" w:lineRule="exact"/>
        <w:jc w:val="both"/>
        <w:rPr>
          <w:rFonts w:eastAsia="仿宋_GB2312"/>
          <w:b/>
          <w:bCs/>
          <w:color w:val="000000"/>
          <w:sz w:val="32"/>
          <w:szCs w:val="32"/>
        </w:rPr>
      </w:pPr>
    </w:p>
    <w:p>
      <w:pPr>
        <w:pStyle w:val="12"/>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2"/>
        <w:spacing w:line="360" w:lineRule="exact"/>
        <w:ind w:firstLine="839" w:firstLineChars="190"/>
        <w:jc w:val="center"/>
        <w:rPr>
          <w:rFonts w:hint="eastAsia" w:ascii="仿宋_GB2312" w:eastAsia="仿宋_GB2312"/>
          <w:b/>
          <w:sz w:val="44"/>
          <w:szCs w:val="44"/>
        </w:rPr>
      </w:pPr>
    </w:p>
    <w:p>
      <w:pPr>
        <w:pStyle w:val="12"/>
        <w:spacing w:line="360" w:lineRule="exact"/>
        <w:jc w:val="center"/>
        <w:rPr>
          <w:rFonts w:hint="eastAsia" w:ascii="仿宋_GB2312" w:eastAsia="仿宋_GB2312"/>
          <w:b/>
          <w:sz w:val="32"/>
          <w:szCs w:val="32"/>
        </w:rPr>
      </w:pPr>
      <w:r>
        <w:rPr>
          <w:rFonts w:hint="eastAsia" w:ascii="仿宋_GB2312" w:eastAsia="仿宋_GB2312"/>
          <w:b/>
          <w:sz w:val="32"/>
          <w:szCs w:val="32"/>
        </w:rPr>
        <w:t>（合同以最终签订版本为准）</w:t>
      </w: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会展城商业中心VI及标识设计更换等</w:t>
      </w:r>
    </w:p>
    <w:p>
      <w:pPr>
        <w:jc w:val="center"/>
        <w:rPr>
          <w:rFonts w:hint="default"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施工一体化服务</w:t>
      </w:r>
      <w:r>
        <w:rPr>
          <w:rFonts w:hint="eastAsia" w:ascii="Times New Roman" w:hAnsi="Times New Roman" w:eastAsia="华文中宋"/>
          <w:sz w:val="44"/>
          <w:szCs w:val="44"/>
        </w:rPr>
        <w:t>项目</w:t>
      </w:r>
      <w:r>
        <w:rPr>
          <w:rFonts w:hint="eastAsia" w:ascii="华文中宋" w:hAnsi="华文中宋" w:eastAsia="华文中宋" w:cs="华文中宋"/>
          <w:sz w:val="44"/>
          <w:szCs w:val="44"/>
          <w:lang w:val="en-US" w:eastAsia="zh-CN"/>
        </w:rPr>
        <w:t>合作协议</w:t>
      </w:r>
    </w:p>
    <w:p>
      <w:pPr>
        <w:ind w:firstLine="3040" w:firstLineChars="950"/>
        <w:rPr>
          <w:rFonts w:hint="eastAsia"/>
          <w:sz w:val="32"/>
          <w:szCs w:val="32"/>
        </w:rPr>
      </w:pPr>
    </w:p>
    <w:p>
      <w:pPr>
        <w:ind w:firstLine="3040" w:firstLineChars="950"/>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p>
    <w:p>
      <w:pPr>
        <w:ind w:firstLine="720" w:firstLineChars="3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甲方：广西</w:t>
      </w:r>
      <w:r>
        <w:rPr>
          <w:rFonts w:hint="eastAsia" w:ascii="仿宋_GB2312" w:hAnsi="仿宋_GB2312" w:eastAsia="仿宋_GB2312" w:cs="仿宋_GB2312"/>
          <w:sz w:val="24"/>
          <w:lang w:val="en-US" w:eastAsia="zh-CN"/>
        </w:rPr>
        <w:t>南博国际会展有限责任公司</w:t>
      </w:r>
    </w:p>
    <w:p>
      <w:pPr>
        <w:ind w:firstLine="600" w:firstLineChars="25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rPr>
          <w:rFonts w:hint="eastAsia" w:ascii="仿宋_GB2312" w:hAnsi="仿宋_GB2312" w:eastAsia="仿宋_GB2312" w:cs="仿宋_GB2312"/>
          <w:spacing w:val="24"/>
          <w:kern w:val="52"/>
          <w:sz w:val="24"/>
          <w:u w:val="single"/>
        </w:rPr>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640" w:firstLineChars="200"/>
        <w:rPr>
          <w:rFonts w:hint="eastAsia" w:ascii="仿宋_GB2312" w:hAnsi="仿宋_GB2312" w:eastAsia="仿宋_GB2312" w:cs="仿宋_GB2312"/>
          <w:sz w:val="32"/>
          <w:szCs w:val="32"/>
        </w:rPr>
      </w:pPr>
      <w:r>
        <w:rPr>
          <w:rFonts w:eastAsia="仿宋_GB2312"/>
          <w:sz w:val="32"/>
          <w:szCs w:val="32"/>
        </w:rPr>
        <w:t>甲、乙双方根据现行中华人民共和国法律、法规的规定,本着平等互利的原则,经友好协商,就以下条款达成一致</w:t>
      </w:r>
      <w:r>
        <w:rPr>
          <w:rFonts w:hint="eastAsia" w:ascii="仿宋_GB2312" w:hAnsi="仿宋_GB2312" w:eastAsia="仿宋_GB2312" w:cs="仿宋_GB2312"/>
          <w:sz w:val="32"/>
          <w:szCs w:val="32"/>
        </w:rPr>
        <w:t>：</w:t>
      </w:r>
    </w:p>
    <w:p>
      <w:pPr>
        <w:ind w:firstLine="787" w:firstLineChars="24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项目概况</w:t>
      </w:r>
    </w:p>
    <w:p>
      <w:pPr>
        <w:ind w:firstLine="720" w:firstLineChars="22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1.项目地点：</w:t>
      </w:r>
      <w:r>
        <w:rPr>
          <w:rFonts w:hint="eastAsia" w:ascii="仿宋_GB2312" w:eastAsia="仿宋_GB2312" w:hAnsiTheme="minorEastAsia" w:cstheme="minorEastAsia"/>
          <w:sz w:val="32"/>
          <w:szCs w:val="32"/>
        </w:rPr>
        <w:t>南宁</w:t>
      </w:r>
      <w:r>
        <w:rPr>
          <w:rFonts w:hint="eastAsia" w:ascii="仿宋_GB2312" w:eastAsia="仿宋_GB2312" w:hAnsiTheme="minorEastAsia" w:cstheme="minorEastAsia"/>
          <w:sz w:val="32"/>
          <w:szCs w:val="32"/>
          <w:lang w:val="en-US" w:eastAsia="zh-CN"/>
        </w:rPr>
        <w:t>会展城F、G区</w:t>
      </w:r>
    </w:p>
    <w:p>
      <w:pPr>
        <w:ind w:firstLine="720" w:firstLineChars="22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2.项目内容：</w:t>
      </w:r>
      <w:r>
        <w:rPr>
          <w:rFonts w:hint="eastAsia" w:ascii="仿宋_GB2312" w:hAnsi="仿宋_GB2312" w:eastAsia="仿宋_GB2312" w:cs="仿宋_GB2312"/>
          <w:sz w:val="32"/>
          <w:szCs w:val="32"/>
          <w:lang w:val="en-US" w:eastAsia="zh-CN"/>
        </w:rPr>
        <w:t>会展城商业中心VI及标识设计更换等施工一体化服务项目</w:t>
      </w:r>
    </w:p>
    <w:p>
      <w:pPr>
        <w:ind w:firstLine="720" w:firstLineChars="22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3.项目范围：</w:t>
      </w:r>
      <w:r>
        <w:rPr>
          <w:rFonts w:hint="eastAsia" w:ascii="仿宋_GB2312" w:hAnsi="仿宋_GB2312" w:eastAsia="仿宋_GB2312" w:cs="仿宋_GB2312"/>
          <w:sz w:val="32"/>
          <w:szCs w:val="32"/>
          <w:lang w:val="en-US" w:eastAsia="zh-CN"/>
        </w:rPr>
        <w:t>拆除、设计、制作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安装</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4.承包方式：包工包料。</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5.广告物料更换竣工期限：2021年12月25日前</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二、甲方责任</w:t>
      </w:r>
    </w:p>
    <w:p>
      <w:pPr>
        <w:ind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1.甲方有权随时了解乙方的工作进度，监督乙方开展工作，并提出改进意见，对于甲方提出的合理意见及要求，乙方应积极配合、接受并及时向甲方反馈；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.向乙方提供施工所需的电源。</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为甲方代表，负责合同履行。对</w:t>
      </w:r>
      <w:r>
        <w:rPr>
          <w:rFonts w:hint="eastAsia" w:ascii="仿宋_GB2312" w:hAnsi="仿宋_GB2312" w:eastAsia="仿宋_GB2312" w:cs="仿宋_GB2312"/>
          <w:sz w:val="32"/>
          <w:szCs w:val="32"/>
          <w:lang w:val="en-US" w:eastAsia="zh-CN"/>
        </w:rPr>
        <w:t>物料</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进度进行监督检查，办理验收、变更、登记手续和其他事宜。</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.甲方应按合同约定条款履行合约，如因甲方原因造成工期延误责任由甲方承担责任，乙方有权顺延工期。</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三、乙方责任</w:t>
      </w:r>
    </w:p>
    <w:p>
      <w:pPr>
        <w:adjustRightInd w:val="0"/>
        <w:snapToGrid w:val="0"/>
        <w:spacing w:line="520" w:lineRule="exact"/>
        <w:ind w:firstLine="627" w:firstLineChars="196"/>
        <w:rPr>
          <w:rFonts w:eastAsia="仿宋_GB2312"/>
          <w:sz w:val="32"/>
          <w:szCs w:val="32"/>
        </w:rPr>
      </w:pPr>
      <w:r>
        <w:rPr>
          <w:rFonts w:hint="eastAsia" w:eastAsia="仿宋_GB2312"/>
          <w:sz w:val="32"/>
          <w:szCs w:val="32"/>
          <w:lang w:val="en-US" w:eastAsia="zh-CN"/>
        </w:rPr>
        <w:t>1.</w:t>
      </w:r>
      <w:r>
        <w:rPr>
          <w:rFonts w:hint="eastAsia" w:eastAsia="仿宋_GB2312"/>
          <w:sz w:val="32"/>
          <w:szCs w:val="32"/>
        </w:rPr>
        <w:t>按照甲方确定的《</w:t>
      </w:r>
      <w:r>
        <w:rPr>
          <w:rFonts w:hint="eastAsia" w:eastAsia="仿宋_GB2312"/>
          <w:sz w:val="32"/>
          <w:szCs w:val="32"/>
          <w:lang w:eastAsia="zh-CN"/>
        </w:rPr>
        <w:t>费用</w:t>
      </w:r>
      <w:r>
        <w:rPr>
          <w:rFonts w:hint="eastAsia" w:eastAsia="仿宋_GB2312"/>
          <w:sz w:val="32"/>
          <w:szCs w:val="32"/>
        </w:rPr>
        <w:t>清单》和流程，按时按质提供服务，完成工作。</w:t>
      </w:r>
    </w:p>
    <w:p>
      <w:pPr>
        <w:adjustRightInd w:val="0"/>
        <w:snapToGrid w:val="0"/>
        <w:spacing w:line="520" w:lineRule="exact"/>
        <w:ind w:firstLine="640" w:firstLineChars="200"/>
        <w:rPr>
          <w:rFonts w:hint="eastAsia" w:ascii="仿宋_GB2312" w:hAnsi="仿宋_GB2312" w:eastAsia="仿宋_GB2312" w:cs="仿宋_GB2312"/>
          <w:b/>
          <w:sz w:val="32"/>
          <w:szCs w:val="32"/>
        </w:rPr>
      </w:pPr>
      <w:r>
        <w:rPr>
          <w:rFonts w:hint="eastAsia" w:eastAsia="仿宋_GB2312"/>
          <w:sz w:val="32"/>
          <w:szCs w:val="32"/>
          <w:lang w:val="en-US" w:eastAsia="zh-CN"/>
        </w:rPr>
        <w:t>2.</w:t>
      </w:r>
      <w:r>
        <w:rPr>
          <w:rFonts w:hint="eastAsia" w:eastAsia="仿宋_GB2312"/>
          <w:sz w:val="32"/>
          <w:szCs w:val="32"/>
        </w:rPr>
        <w:t>乙方</w:t>
      </w:r>
      <w:r>
        <w:rPr>
          <w:rFonts w:hint="eastAsia" w:eastAsia="仿宋_GB2312"/>
          <w:sz w:val="32"/>
          <w:szCs w:val="32"/>
          <w:lang w:val="en-US" w:eastAsia="zh-CN"/>
        </w:rPr>
        <w:t>施工期间</w:t>
      </w:r>
      <w:r>
        <w:rPr>
          <w:rFonts w:eastAsia="仿宋_GB2312"/>
          <w:sz w:val="32"/>
          <w:szCs w:val="32"/>
        </w:rPr>
        <w:t>不得收取小费或谋取任何其他</w:t>
      </w:r>
      <w:r>
        <w:rPr>
          <w:rFonts w:hint="eastAsia" w:eastAsia="仿宋_GB2312"/>
          <w:sz w:val="32"/>
          <w:szCs w:val="32"/>
        </w:rPr>
        <w:t>利益。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.乙方在合同签订后2日之内提供施工方案和进度计划，如不能按约定时间完成，乙方必须提前1日说明与甲方进行友好协商。</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.指派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乙方代表，全面负责合同履行。按要求组织施工，保质、保量、按期完成施工任务，进行监督检查，解决由乙方负责的各项事宜。负责与甲方或甲方代表联系，及时协商解决施工现场因其他因素造成的影响施工的有关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.根据甲方的需求调整有关</w:t>
      </w:r>
      <w:r>
        <w:rPr>
          <w:rFonts w:hint="eastAsia" w:ascii="仿宋_GB2312" w:hAnsi="仿宋_GB2312" w:eastAsia="仿宋_GB2312" w:cs="仿宋_GB2312"/>
          <w:sz w:val="32"/>
          <w:szCs w:val="32"/>
          <w:lang w:val="en-US" w:eastAsia="zh-CN"/>
        </w:rPr>
        <w:t>设计</w:t>
      </w:r>
      <w:r>
        <w:rPr>
          <w:rFonts w:hint="eastAsia" w:ascii="仿宋_GB2312" w:hAnsi="仿宋_GB2312" w:eastAsia="仿宋_GB2312" w:cs="仿宋_GB2312"/>
          <w:sz w:val="32"/>
          <w:szCs w:val="32"/>
        </w:rPr>
        <w:t>方案，负责</w:t>
      </w:r>
      <w:r>
        <w:rPr>
          <w:rFonts w:hint="eastAsia" w:ascii="仿宋_GB2312" w:hAnsi="仿宋_GB2312" w:eastAsia="仿宋_GB2312" w:cs="仿宋_GB2312"/>
          <w:sz w:val="32"/>
          <w:szCs w:val="32"/>
          <w:lang w:val="en-US" w:eastAsia="zh-CN"/>
        </w:rPr>
        <w:t>广告</w:t>
      </w:r>
      <w:r>
        <w:rPr>
          <w:rFonts w:hint="eastAsia" w:ascii="仿宋_GB2312" w:hAnsi="仿宋_GB2312" w:eastAsia="仿宋_GB2312" w:cs="仿宋_GB2312"/>
          <w:sz w:val="32"/>
          <w:szCs w:val="32"/>
        </w:rPr>
        <w:t>画面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指示牌、LOGO的设计</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等相关</w:t>
      </w:r>
      <w:r>
        <w:rPr>
          <w:rFonts w:hint="eastAsia" w:ascii="仿宋_GB2312" w:hAnsi="仿宋_GB2312" w:eastAsia="仿宋_GB2312" w:cs="仿宋_GB2312"/>
          <w:sz w:val="32"/>
          <w:szCs w:val="32"/>
          <w:lang w:val="en-US" w:eastAsia="zh-CN"/>
        </w:rPr>
        <w:t>广告物料更换</w:t>
      </w:r>
      <w:r>
        <w:rPr>
          <w:rFonts w:hint="eastAsia" w:ascii="仿宋_GB2312" w:hAnsi="仿宋_GB2312" w:eastAsia="仿宋_GB2312" w:cs="仿宋_GB2312"/>
          <w:sz w:val="32"/>
          <w:szCs w:val="32"/>
        </w:rPr>
        <w:t>执行工作，并保证工作顺利进行。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.乙方按照甲方确认的方案进行实施执行，并按照</w:t>
      </w:r>
      <w:r>
        <w:rPr>
          <w:rFonts w:hint="eastAsia" w:ascii="仿宋_GB2312" w:hAnsi="仿宋_GB2312" w:eastAsia="仿宋_GB2312" w:cs="仿宋_GB2312"/>
          <w:sz w:val="32"/>
          <w:szCs w:val="32"/>
          <w:lang w:val="en-US" w:eastAsia="zh-CN"/>
        </w:rPr>
        <w:t>约定</w:t>
      </w:r>
      <w:r>
        <w:rPr>
          <w:rFonts w:hint="eastAsia" w:ascii="仿宋_GB2312" w:hAnsi="仿宋_GB2312" w:eastAsia="仿宋_GB2312" w:cs="仿宋_GB2312"/>
          <w:sz w:val="32"/>
          <w:szCs w:val="32"/>
        </w:rPr>
        <w:t>时间和地点要求</w:t>
      </w:r>
      <w:r>
        <w:rPr>
          <w:rFonts w:hint="eastAsia" w:ascii="仿宋_GB2312" w:hAnsi="仿宋_GB2312" w:eastAsia="仿宋_GB2312" w:cs="仿宋_GB2312"/>
          <w:sz w:val="32"/>
          <w:szCs w:val="32"/>
          <w:lang w:val="en-US" w:eastAsia="zh-CN"/>
        </w:rPr>
        <w:t>安装完成</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乙方保证使用的图片和文字以及设计方案不侵犯任何第三方的知识产权或其他权利，符合中华人民共和国的法律规定，对因违反相关法律规定而产生的相关责任，由乙方负责；但由甲方提供的文字、图片、视频资料等素材引发的纠纷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.乙方必须保证所有进场施工人员必须进行过三级安全教育。施工中严格执行安全操作规程，不违章指挥与操作，因乙方安全工作不到位导致工伤事故，均由乙方承担所有负责任。</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.在施工过程中，必须服从甲方</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监理方有关工程技术人员的规范检查与监督，遵守国家、地方政府及有关部门对施工现场管理的规定。</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.乙方进场施工必须学习了解第三方场地施工规范，如有违反则由乙方承担一切责任及费用。</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.乙方提供的物料及材料在施工过程中，如未按《</w:t>
      </w:r>
      <w:r>
        <w:rPr>
          <w:rFonts w:hint="eastAsia" w:eastAsia="仿宋_GB2312"/>
          <w:sz w:val="32"/>
          <w:szCs w:val="32"/>
          <w:lang w:eastAsia="zh-CN"/>
        </w:rPr>
        <w:t>费用</w:t>
      </w:r>
      <w:r>
        <w:rPr>
          <w:rFonts w:hint="eastAsia" w:eastAsia="仿宋_GB2312"/>
          <w:sz w:val="32"/>
          <w:szCs w:val="32"/>
        </w:rPr>
        <w:t>清单</w:t>
      </w:r>
      <w:r>
        <w:rPr>
          <w:rFonts w:hint="eastAsia" w:ascii="仿宋_GB2312" w:hAnsi="仿宋_GB2312" w:eastAsia="仿宋_GB2312" w:cs="仿宋_GB2312"/>
          <w:sz w:val="32"/>
          <w:szCs w:val="32"/>
        </w:rPr>
        <w:t>》里的参数标准提供及施工要求实施，造成的一切损失由乙方负责。</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.乙方必须保证施工人员按每日计划的时间到岗开工。如施工人员未按规定在非工作时间段内进行施工，一切责任由乙方自行承担。</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.乙方必须按照甲方要求的最晚退场时间前完成所有清场工作，如超出时间一切责任由乙方自行承担。</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.乙方必须在合同约定的时间内完成施工，除合理顺延情形外，如有超出约定时间按违约处理。</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.乙方不得将甲方提供的任何资料和施工现场资料提供给第三方，如有违反造成的一切后果均由乙方承担全部责任。</w:t>
      </w:r>
    </w:p>
    <w:p>
      <w:pPr>
        <w:ind w:firstLine="720" w:firstLineChars="22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.乙方施工前必须对施工场地进行测量，并及时与甲方核对物料及材料尺寸，否则因物料及材料的尺寸问题发生任何纠纷，一切费用由乙方自行承担。</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、关于</w:t>
      </w:r>
      <w:r>
        <w:rPr>
          <w:rFonts w:hint="eastAsia" w:ascii="仿宋_GB2312" w:hAnsi="仿宋_GB2312" w:eastAsia="仿宋_GB2312" w:cs="仿宋_GB2312"/>
          <w:b/>
          <w:bCs/>
          <w:sz w:val="32"/>
          <w:szCs w:val="32"/>
          <w:lang w:eastAsia="zh-CN"/>
        </w:rPr>
        <w:t>项目</w:t>
      </w:r>
      <w:r>
        <w:rPr>
          <w:rFonts w:hint="eastAsia" w:ascii="仿宋_GB2312" w:hAnsi="仿宋_GB2312" w:eastAsia="仿宋_GB2312" w:cs="仿宋_GB2312"/>
          <w:b/>
          <w:sz w:val="32"/>
          <w:szCs w:val="32"/>
        </w:rPr>
        <w:t>款的支付及结算的约定</w:t>
      </w:r>
    </w:p>
    <w:p>
      <w:pPr>
        <w:ind w:firstLine="720" w:firstLineChars="225"/>
        <w:rPr>
          <w:rFonts w:hint="default" w:ascii="仿宋_GB2312" w:hAnsi="仿宋_GB2312" w:eastAsia="仿宋_GB2312" w:cs="仿宋_GB2312"/>
          <w:b/>
          <w:kern w:val="52"/>
          <w:sz w:val="32"/>
          <w:szCs w:val="32"/>
          <w:lang w:val="en-US" w:eastAsia="zh-CN"/>
        </w:rPr>
      </w:pPr>
      <w:r>
        <w:rPr>
          <w:rFonts w:hint="eastAsia" w:ascii="仿宋_GB2312" w:hAnsi="仿宋_GB2312" w:eastAsia="仿宋_GB2312" w:cs="仿宋_GB2312"/>
          <w:sz w:val="32"/>
          <w:szCs w:val="32"/>
        </w:rPr>
        <w:t>双方以报价单作为本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最终结算单价，以双方审定的实际</w:t>
      </w:r>
      <w:r>
        <w:rPr>
          <w:rFonts w:hint="eastAsia" w:ascii="仿宋_GB2312" w:hAnsi="仿宋_GB2312" w:eastAsia="仿宋_GB2312" w:cs="仿宋_GB2312"/>
          <w:sz w:val="32"/>
          <w:szCs w:val="32"/>
          <w:lang w:val="en-US" w:eastAsia="zh-CN"/>
        </w:rPr>
        <w:t>广告物料更换数量为</w:t>
      </w:r>
      <w:r>
        <w:rPr>
          <w:rFonts w:hint="eastAsia" w:ascii="仿宋_GB2312" w:hAnsi="仿宋_GB2312" w:eastAsia="仿宋_GB2312" w:cs="仿宋_GB2312"/>
          <w:sz w:val="32"/>
          <w:szCs w:val="32"/>
        </w:rPr>
        <w:t>计算依据。如施工中，有面积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数量）</w:t>
      </w:r>
      <w:r>
        <w:rPr>
          <w:rFonts w:hint="eastAsia" w:ascii="仿宋_GB2312" w:hAnsi="仿宋_GB2312" w:eastAsia="仿宋_GB2312" w:cs="仿宋_GB2312"/>
          <w:sz w:val="32"/>
          <w:szCs w:val="32"/>
        </w:rPr>
        <w:t>变更</w:t>
      </w:r>
      <w:r>
        <w:rPr>
          <w:rFonts w:hint="eastAsia" w:ascii="仿宋_GB2312" w:hAnsi="仿宋_GB2312" w:eastAsia="仿宋_GB2312" w:cs="仿宋_GB2312"/>
          <w:sz w:val="32"/>
          <w:szCs w:val="32"/>
          <w:lang w:eastAsia="zh-CN"/>
        </w:rPr>
        <w:t>、项目增减，</w:t>
      </w:r>
      <w:r>
        <w:rPr>
          <w:rFonts w:hint="eastAsia" w:ascii="仿宋_GB2312" w:hAnsi="仿宋_GB2312" w:eastAsia="仿宋_GB2312" w:cs="仿宋_GB2312"/>
          <w:sz w:val="32"/>
          <w:szCs w:val="32"/>
        </w:rPr>
        <w:t>减少部分扣除，增加部分按单项的单价结算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最终以验收单为结算依据。</w:t>
      </w:r>
    </w:p>
    <w:p>
      <w:pPr>
        <w:widowControl/>
        <w:ind w:firstLine="643" w:firstLineChars="200"/>
        <w:jc w:val="left"/>
        <w:rPr>
          <w:rFonts w:hint="eastAsia" w:ascii="仿宋_GB2312" w:hAnsi="仿宋_GB2312" w:eastAsia="仿宋_GB2312" w:cs="仿宋_GB2312"/>
          <w:kern w:val="52"/>
          <w:sz w:val="32"/>
          <w:szCs w:val="32"/>
        </w:rPr>
      </w:pPr>
      <w:r>
        <w:rPr>
          <w:rFonts w:hint="eastAsia" w:ascii="仿宋_GB2312" w:hAnsi="仿宋_GB2312" w:eastAsia="仿宋_GB2312" w:cs="仿宋_GB2312"/>
          <w:b/>
          <w:kern w:val="52"/>
          <w:sz w:val="32"/>
          <w:szCs w:val="32"/>
          <w:lang w:eastAsia="zh-CN"/>
        </w:rPr>
        <w:t>五</w:t>
      </w:r>
      <w:r>
        <w:rPr>
          <w:rFonts w:hint="eastAsia" w:ascii="仿宋_GB2312" w:hAnsi="仿宋_GB2312" w:eastAsia="仿宋_GB2312" w:cs="仿宋_GB2312"/>
          <w:b/>
          <w:kern w:val="52"/>
          <w:sz w:val="32"/>
          <w:szCs w:val="32"/>
        </w:rPr>
        <w:t>、本</w:t>
      </w:r>
      <w:r>
        <w:rPr>
          <w:rFonts w:hint="eastAsia" w:ascii="仿宋_GB2312" w:hAnsi="仿宋_GB2312" w:eastAsia="仿宋_GB2312" w:cs="仿宋_GB2312"/>
          <w:b/>
          <w:bCs/>
          <w:sz w:val="32"/>
          <w:szCs w:val="32"/>
          <w:lang w:eastAsia="zh-CN"/>
        </w:rPr>
        <w:t>项目</w:t>
      </w:r>
      <w:r>
        <w:rPr>
          <w:rFonts w:hint="eastAsia" w:ascii="仿宋_GB2312" w:hAnsi="仿宋_GB2312" w:eastAsia="仿宋_GB2312" w:cs="仿宋_GB2312"/>
          <w:b/>
          <w:kern w:val="52"/>
          <w:sz w:val="32"/>
          <w:szCs w:val="32"/>
        </w:rPr>
        <w:t>总</w:t>
      </w:r>
      <w:r>
        <w:rPr>
          <w:rFonts w:hint="eastAsia" w:ascii="仿宋_GB2312" w:hAnsi="仿宋_GB2312" w:eastAsia="仿宋_GB2312" w:cs="仿宋_GB2312"/>
          <w:b/>
          <w:kern w:val="52"/>
          <w:sz w:val="32"/>
          <w:szCs w:val="32"/>
          <w:lang w:val="en-US" w:eastAsia="zh-CN"/>
        </w:rPr>
        <w:t>费用</w:t>
      </w:r>
      <w:r>
        <w:rPr>
          <w:rFonts w:hint="eastAsia" w:ascii="仿宋_GB2312" w:hAnsi="仿宋_GB2312" w:eastAsia="仿宋_GB2312" w:cs="仿宋_GB2312"/>
          <w:b/>
          <w:kern w:val="52"/>
          <w:sz w:val="32"/>
          <w:szCs w:val="32"/>
        </w:rPr>
        <w:t>暂定为人民币</w:t>
      </w:r>
      <w:r>
        <w:rPr>
          <w:rFonts w:hint="eastAsia" w:ascii="仿宋_GB2312" w:hAnsi="仿宋_GB2312" w:eastAsia="仿宋_GB2312" w:cs="仿宋_GB2312"/>
          <w:kern w:val="0"/>
          <w:sz w:val="32"/>
          <w:szCs w:val="32"/>
          <w:lang w:val="en-US" w:eastAsia="zh-CN" w:bidi="ar"/>
        </w:rPr>
        <w:t>叁</w:t>
      </w:r>
      <w:r>
        <w:rPr>
          <w:rFonts w:hint="eastAsia" w:ascii="仿宋_GB2312" w:hAnsi="仿宋_GB2312" w:eastAsia="仿宋_GB2312" w:cs="仿宋_GB2312"/>
          <w:kern w:val="0"/>
          <w:sz w:val="32"/>
          <w:szCs w:val="32"/>
          <w:lang w:bidi="ar"/>
        </w:rPr>
        <w:t>拾</w:t>
      </w:r>
      <w:r>
        <w:rPr>
          <w:rFonts w:hint="eastAsia" w:ascii="仿宋_GB2312" w:hAnsi="仿宋_GB2312" w:eastAsia="仿宋_GB2312" w:cs="仿宋_GB2312"/>
          <w:kern w:val="0"/>
          <w:sz w:val="32"/>
          <w:szCs w:val="32"/>
          <w:lang w:val="en-US" w:eastAsia="zh-CN" w:bidi="ar"/>
        </w:rPr>
        <w:t>柒</w:t>
      </w:r>
      <w:r>
        <w:rPr>
          <w:rFonts w:hint="eastAsia" w:ascii="仿宋_GB2312" w:hAnsi="仿宋_GB2312" w:eastAsia="仿宋_GB2312" w:cs="仿宋_GB2312"/>
          <w:kern w:val="0"/>
          <w:sz w:val="32"/>
          <w:szCs w:val="32"/>
          <w:lang w:bidi="ar"/>
        </w:rPr>
        <w:t>万</w:t>
      </w:r>
      <w:r>
        <w:rPr>
          <w:rFonts w:hint="eastAsia" w:ascii="仿宋_GB2312" w:hAnsi="仿宋_GB2312" w:eastAsia="仿宋_GB2312" w:cs="仿宋_GB2312"/>
          <w:kern w:val="0"/>
          <w:sz w:val="32"/>
          <w:szCs w:val="32"/>
          <w:lang w:val="en-US" w:eastAsia="zh-CN" w:bidi="ar"/>
        </w:rPr>
        <w:t>元</w:t>
      </w:r>
      <w:r>
        <w:rPr>
          <w:rFonts w:hint="eastAsia" w:ascii="仿宋_GB2312" w:hAnsi="仿宋_GB2312" w:eastAsia="仿宋_GB2312" w:cs="仿宋_GB2312"/>
          <w:kern w:val="0"/>
          <w:sz w:val="32"/>
          <w:szCs w:val="32"/>
          <w:lang w:bidi="ar"/>
        </w:rPr>
        <w:t xml:space="preserve">整 </w:t>
      </w:r>
      <w:r>
        <w:rPr>
          <w:rFonts w:hint="eastAsia" w:ascii="仿宋_GB2312" w:hAnsi="仿宋_GB2312" w:eastAsia="仿宋_GB2312" w:cs="仿宋_GB2312"/>
          <w:kern w:val="52"/>
          <w:sz w:val="32"/>
          <w:szCs w:val="32"/>
          <w:u w:val="single"/>
        </w:rPr>
        <w:t>(</w:t>
      </w:r>
      <w:r>
        <w:rPr>
          <w:rFonts w:hint="eastAsia" w:ascii="仿宋_GB2312" w:hAnsi="仿宋_GB2312" w:eastAsia="仿宋_GB2312" w:cs="仿宋_GB2312"/>
          <w:kern w:val="52"/>
          <w:sz w:val="32"/>
          <w:szCs w:val="32"/>
          <w:u w:val="single"/>
          <w:lang w:val="en-US" w:eastAsia="zh-CN"/>
        </w:rPr>
        <w:t>370000.00</w:t>
      </w:r>
      <w:r>
        <w:rPr>
          <w:rFonts w:hint="eastAsia" w:ascii="仿宋_GB2312" w:hAnsi="仿宋_GB2312" w:eastAsia="仿宋_GB2312" w:cs="仿宋_GB2312"/>
          <w:kern w:val="52"/>
          <w:sz w:val="32"/>
          <w:szCs w:val="32"/>
          <w:u w:val="single"/>
        </w:rPr>
        <w:t>)</w:t>
      </w:r>
      <w:r>
        <w:rPr>
          <w:rFonts w:hint="eastAsia" w:ascii="仿宋_GB2312" w:hAnsi="仿宋_GB2312" w:eastAsia="仿宋_GB2312" w:cs="仿宋_GB2312"/>
          <w:kern w:val="52"/>
          <w:sz w:val="32"/>
          <w:szCs w:val="32"/>
        </w:rPr>
        <w:t>支付进度详见下表：</w:t>
      </w:r>
    </w:p>
    <w:tbl>
      <w:tblPr>
        <w:tblStyle w:val="2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付费次序</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占总</w:t>
            </w:r>
            <w:r>
              <w:rPr>
                <w:rFonts w:hint="eastAsia" w:ascii="仿宋_GB2312" w:hAnsi="仿宋_GB2312" w:eastAsia="仿宋_GB2312" w:cs="仿宋_GB2312"/>
                <w:kern w:val="52"/>
                <w:sz w:val="24"/>
                <w:lang w:eastAsia="zh-CN"/>
              </w:rPr>
              <w:t>项目</w:t>
            </w:r>
            <w:r>
              <w:rPr>
                <w:rFonts w:hint="eastAsia" w:ascii="仿宋_GB2312" w:hAnsi="仿宋_GB2312" w:eastAsia="仿宋_GB2312" w:cs="仿宋_GB2312"/>
                <w:kern w:val="52"/>
                <w:sz w:val="24"/>
              </w:rPr>
              <w:t>费％</w:t>
            </w:r>
          </w:p>
        </w:tc>
        <w:tc>
          <w:tcPr>
            <w:tcW w:w="198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付费额（￥）</w:t>
            </w: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付费时间</w:t>
            </w:r>
          </w:p>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第一期</w:t>
            </w:r>
          </w:p>
        </w:tc>
        <w:tc>
          <w:tcPr>
            <w:tcW w:w="180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val="en-US" w:eastAsia="zh-CN"/>
              </w:rPr>
              <w:t>3</w:t>
            </w:r>
            <w:r>
              <w:rPr>
                <w:rFonts w:hint="eastAsia" w:ascii="仿宋_GB2312" w:hAnsi="仿宋_GB2312" w:eastAsia="仿宋_GB2312" w:cs="仿宋_GB2312"/>
                <w:kern w:val="52"/>
                <w:sz w:val="24"/>
                <w:lang w:eastAsia="zh-CN"/>
              </w:rPr>
              <w:t>0％</w:t>
            </w:r>
          </w:p>
        </w:tc>
        <w:tc>
          <w:tcPr>
            <w:tcW w:w="1980" w:type="dxa"/>
            <w:noWrap w:val="0"/>
            <w:vAlign w:val="center"/>
          </w:tcPr>
          <w:p>
            <w:pPr>
              <w:jc w:val="center"/>
              <w:rPr>
                <w:rFonts w:hint="eastAsia" w:ascii="仿宋_GB2312" w:hAnsi="仿宋_GB2312" w:eastAsia="仿宋_GB2312" w:cs="仿宋_GB2312"/>
                <w:kern w:val="52"/>
                <w:sz w:val="24"/>
                <w:lang w:eastAsia="zh-CN"/>
              </w:rPr>
            </w:pPr>
          </w:p>
        </w:tc>
        <w:tc>
          <w:tcPr>
            <w:tcW w:w="306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合同签订后</w:t>
            </w:r>
            <w:r>
              <w:rPr>
                <w:rFonts w:hint="eastAsia" w:ascii="仿宋_GB2312" w:hAnsi="仿宋_GB2312" w:eastAsia="仿宋_GB2312" w:cs="仿宋_GB2312"/>
                <w:kern w:val="52"/>
                <w:sz w:val="24"/>
                <w:lang w:val="en-US" w:eastAsia="zh-CN"/>
              </w:rPr>
              <w:t>7</w:t>
            </w:r>
            <w:r>
              <w:rPr>
                <w:rFonts w:hint="eastAsia" w:ascii="仿宋_GB2312" w:hAnsi="仿宋_GB2312" w:eastAsia="仿宋_GB2312" w:cs="仿宋_GB2312"/>
                <w:kern w:val="52"/>
                <w:sz w:val="24"/>
                <w:lang w:eastAsia="zh-CN"/>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第二期</w:t>
            </w:r>
          </w:p>
        </w:tc>
        <w:tc>
          <w:tcPr>
            <w:tcW w:w="180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30％</w:t>
            </w:r>
          </w:p>
        </w:tc>
        <w:tc>
          <w:tcPr>
            <w:tcW w:w="1980" w:type="dxa"/>
            <w:noWrap w:val="0"/>
            <w:vAlign w:val="center"/>
          </w:tcPr>
          <w:p>
            <w:pPr>
              <w:jc w:val="center"/>
              <w:rPr>
                <w:rFonts w:hint="eastAsia" w:ascii="仿宋_GB2312" w:hAnsi="仿宋_GB2312" w:eastAsia="仿宋_GB2312" w:cs="仿宋_GB2312"/>
                <w:kern w:val="52"/>
                <w:sz w:val="24"/>
                <w:lang w:eastAsia="zh-CN"/>
              </w:rPr>
            </w:pPr>
          </w:p>
        </w:tc>
        <w:tc>
          <w:tcPr>
            <w:tcW w:w="306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设计方案经甲方确认，乙方进场施工前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08"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第三期</w:t>
            </w:r>
          </w:p>
        </w:tc>
        <w:tc>
          <w:tcPr>
            <w:tcW w:w="180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val="en-US" w:eastAsia="zh-CN"/>
              </w:rPr>
              <w:t>35</w:t>
            </w:r>
            <w:r>
              <w:rPr>
                <w:rFonts w:hint="eastAsia" w:ascii="仿宋_GB2312" w:hAnsi="仿宋_GB2312" w:eastAsia="仿宋_GB2312" w:cs="仿宋_GB2312"/>
                <w:kern w:val="52"/>
                <w:sz w:val="24"/>
                <w:lang w:eastAsia="zh-CN"/>
              </w:rPr>
              <w:t>%</w:t>
            </w:r>
          </w:p>
        </w:tc>
        <w:tc>
          <w:tcPr>
            <w:tcW w:w="1980" w:type="dxa"/>
            <w:noWrap w:val="0"/>
            <w:vAlign w:val="center"/>
          </w:tcPr>
          <w:p>
            <w:pPr>
              <w:jc w:val="center"/>
              <w:rPr>
                <w:rFonts w:hint="eastAsia" w:ascii="仿宋_GB2312" w:hAnsi="仿宋_GB2312" w:eastAsia="仿宋_GB2312" w:cs="仿宋_GB2312"/>
                <w:kern w:val="52"/>
                <w:sz w:val="24"/>
                <w:lang w:eastAsia="zh-CN"/>
              </w:rPr>
            </w:pPr>
          </w:p>
        </w:tc>
        <w:tc>
          <w:tcPr>
            <w:tcW w:w="3060" w:type="dxa"/>
            <w:noWrap w:val="0"/>
            <w:vAlign w:val="center"/>
          </w:tcPr>
          <w:p>
            <w:pPr>
              <w:jc w:val="center"/>
              <w:rPr>
                <w:rFonts w:hint="eastAsia" w:ascii="仿宋_GB2312" w:hAnsi="仿宋_GB2312" w:eastAsia="仿宋_GB2312" w:cs="仿宋_GB2312"/>
                <w:kern w:val="52"/>
                <w:sz w:val="24"/>
                <w:lang w:eastAsia="zh-CN"/>
              </w:rPr>
            </w:pPr>
            <w:r>
              <w:rPr>
                <w:rFonts w:hint="eastAsia" w:ascii="仿宋_GB2312" w:hAnsi="仿宋_GB2312" w:eastAsia="仿宋_GB2312" w:cs="仿宋_GB2312"/>
                <w:kern w:val="52"/>
                <w:sz w:val="24"/>
                <w:lang w:eastAsia="zh-CN"/>
              </w:rPr>
              <w:t>项目经验收合格后7个工作日内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08" w:type="dxa"/>
            <w:noWrap w:val="0"/>
            <w:vAlign w:val="center"/>
          </w:tcPr>
          <w:p>
            <w:pPr>
              <w:jc w:val="center"/>
              <w:rPr>
                <w:rFonts w:hint="default" w:ascii="仿宋_GB2312" w:hAnsi="仿宋_GB2312" w:eastAsia="仿宋_GB2312" w:cs="仿宋_GB2312"/>
                <w:color w:val="FF0000"/>
                <w:kern w:val="52"/>
                <w:sz w:val="24"/>
                <w:lang w:val="en-US" w:eastAsia="zh-CN"/>
              </w:rPr>
            </w:pPr>
            <w:r>
              <w:rPr>
                <w:rFonts w:hint="eastAsia" w:ascii="仿宋_GB2312" w:hAnsi="仿宋_GB2312" w:eastAsia="仿宋_GB2312" w:cs="仿宋_GB2312"/>
                <w:color w:val="FF0000"/>
                <w:kern w:val="52"/>
                <w:sz w:val="24"/>
                <w:lang w:val="en-US" w:eastAsia="zh-CN"/>
              </w:rPr>
              <w:t>第四期</w:t>
            </w:r>
          </w:p>
        </w:tc>
        <w:tc>
          <w:tcPr>
            <w:tcW w:w="1800" w:type="dxa"/>
            <w:noWrap w:val="0"/>
            <w:vAlign w:val="center"/>
          </w:tcPr>
          <w:p>
            <w:pPr>
              <w:jc w:val="center"/>
              <w:rPr>
                <w:rFonts w:hint="default" w:ascii="仿宋_GB2312" w:hAnsi="仿宋_GB2312" w:eastAsia="仿宋_GB2312" w:cs="仿宋_GB2312"/>
                <w:color w:val="FF0000"/>
                <w:kern w:val="52"/>
                <w:sz w:val="24"/>
                <w:lang w:val="en-US" w:eastAsia="zh-CN"/>
              </w:rPr>
            </w:pPr>
            <w:r>
              <w:rPr>
                <w:rFonts w:hint="eastAsia" w:ascii="仿宋_GB2312" w:hAnsi="仿宋_GB2312" w:eastAsia="仿宋_GB2312" w:cs="仿宋_GB2312"/>
                <w:color w:val="FF0000"/>
                <w:kern w:val="52"/>
                <w:sz w:val="24"/>
                <w:lang w:val="en-US" w:eastAsia="zh-CN"/>
              </w:rPr>
              <w:t>5%</w:t>
            </w:r>
          </w:p>
        </w:tc>
        <w:tc>
          <w:tcPr>
            <w:tcW w:w="1980" w:type="dxa"/>
            <w:noWrap w:val="0"/>
            <w:vAlign w:val="center"/>
          </w:tcPr>
          <w:p>
            <w:pPr>
              <w:jc w:val="center"/>
              <w:rPr>
                <w:rFonts w:hint="eastAsia" w:ascii="仿宋_GB2312" w:hAnsi="仿宋_GB2312" w:eastAsia="仿宋_GB2312" w:cs="仿宋_GB2312"/>
                <w:color w:val="FF0000"/>
                <w:kern w:val="52"/>
                <w:sz w:val="24"/>
                <w:lang w:eastAsia="zh-CN"/>
              </w:rPr>
            </w:pPr>
          </w:p>
        </w:tc>
        <w:tc>
          <w:tcPr>
            <w:tcW w:w="3060" w:type="dxa"/>
            <w:noWrap w:val="0"/>
            <w:vAlign w:val="center"/>
          </w:tcPr>
          <w:p>
            <w:pPr>
              <w:jc w:val="center"/>
              <w:rPr>
                <w:rFonts w:hint="default" w:ascii="仿宋_GB2312" w:hAnsi="仿宋_GB2312" w:eastAsia="仿宋_GB2312" w:cs="仿宋_GB2312"/>
                <w:color w:val="FF0000"/>
                <w:kern w:val="52"/>
                <w:sz w:val="24"/>
                <w:lang w:val="en-US" w:eastAsia="zh-CN"/>
              </w:rPr>
            </w:pPr>
            <w:r>
              <w:rPr>
                <w:rFonts w:hint="eastAsia" w:ascii="仿宋_GB2312" w:hAnsi="仿宋_GB2312" w:eastAsia="仿宋_GB2312" w:cs="仿宋_GB2312"/>
                <w:color w:val="FF0000"/>
                <w:kern w:val="52"/>
                <w:sz w:val="24"/>
                <w:lang w:val="en-US" w:eastAsia="zh-CN"/>
              </w:rPr>
              <w:t>质量保证期届满且无遗留问题后支付（不计利息）</w:t>
            </w:r>
          </w:p>
        </w:tc>
      </w:tr>
    </w:tbl>
    <w:p>
      <w:pPr>
        <w:rPr>
          <w:rFonts w:hint="eastAsia"/>
          <w:kern w:val="52"/>
          <w:sz w:val="24"/>
        </w:rPr>
      </w:pP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 xml:space="preserve">、违约责任                                   </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1.乙方要确保按期交工，逾期不完工的，每推迟1天，甲方按暂定的工程总造价</w:t>
      </w:r>
      <w:r>
        <w:rPr>
          <w:rFonts w:hint="eastAsia" w:ascii="仿宋_GB2312" w:hAnsi="仿宋_GB2312" w:eastAsia="仿宋_GB2312" w:cs="仿宋_GB2312"/>
          <w:kern w:val="52"/>
          <w:sz w:val="32"/>
          <w:szCs w:val="32"/>
          <w:u w:val="single"/>
          <w:lang w:val="en-US" w:eastAsia="zh-CN"/>
        </w:rPr>
        <w:t xml:space="preserve">      </w:t>
      </w:r>
      <w:r>
        <w:rPr>
          <w:rFonts w:hint="eastAsia" w:ascii="仿宋_GB2312" w:hAnsi="仿宋_GB2312" w:eastAsia="仿宋_GB2312" w:cs="仿宋_GB2312"/>
          <w:kern w:val="52"/>
          <w:sz w:val="32"/>
          <w:szCs w:val="32"/>
        </w:rPr>
        <w:t>元的</w:t>
      </w:r>
      <w:r>
        <w:rPr>
          <w:rFonts w:hint="eastAsia" w:ascii="仿宋_GB2312" w:hAnsi="仿宋_GB2312" w:eastAsia="仿宋_GB2312" w:cs="仿宋_GB2312"/>
          <w:kern w:val="52"/>
          <w:sz w:val="32"/>
          <w:szCs w:val="32"/>
          <w:lang w:val="en-US" w:eastAsia="zh-CN"/>
        </w:rPr>
        <w:t>0.0</w:t>
      </w:r>
      <w:r>
        <w:rPr>
          <w:rFonts w:hint="eastAsia" w:ascii="仿宋_GB2312" w:hAnsi="仿宋_GB2312" w:eastAsia="仿宋_GB2312" w:cs="仿宋_GB2312"/>
          <w:sz w:val="32"/>
          <w:szCs w:val="32"/>
        </w:rPr>
        <w:t>5%每天对乙方进行处罚。</w:t>
      </w:r>
    </w:p>
    <w:p>
      <w:pPr>
        <w:ind w:firstLine="720" w:firstLineChars="2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2.乙方在施工过程中不按《</w:t>
      </w:r>
      <w:r>
        <w:rPr>
          <w:rFonts w:hint="eastAsia" w:eastAsia="仿宋_GB2312"/>
          <w:sz w:val="32"/>
          <w:szCs w:val="32"/>
          <w:lang w:eastAsia="zh-CN"/>
        </w:rPr>
        <w:t>费用</w:t>
      </w:r>
      <w:r>
        <w:rPr>
          <w:rFonts w:hint="eastAsia" w:eastAsia="仿宋_GB2312"/>
          <w:sz w:val="32"/>
          <w:szCs w:val="32"/>
        </w:rPr>
        <w:t>清单</w:t>
      </w:r>
      <w:r>
        <w:rPr>
          <w:rFonts w:hint="eastAsia" w:ascii="仿宋_GB2312" w:hAnsi="仿宋_GB2312" w:eastAsia="仿宋_GB2312" w:cs="仿宋_GB2312"/>
          <w:sz w:val="32"/>
          <w:szCs w:val="32"/>
        </w:rPr>
        <w:t>》要求采购物料及技术规范施工，且甲方出具整改通知书后，乙方仍然不按整改通知书要求和规定的时间内完成整改，甲方可单方面提出合同终止，同时乙方必须退还甲方前期支付的所有费用。</w:t>
      </w:r>
    </w:p>
    <w:p>
      <w:pPr>
        <w:ind w:firstLine="720" w:firstLineChars="2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3.乙方擅自将甲方提供的保密资料及施工现场资料提供给第三方，经查验后，甲方可单方面提出合同终止，乙方必须退还甲方前期支付的所有费用。且承担因此所造成的所有法律责任。</w:t>
      </w:r>
    </w:p>
    <w:p>
      <w:pPr>
        <w:ind w:firstLine="720" w:firstLineChars="225"/>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4.乙方施工人员未按每日计划的时间内到岗施工，连续2日未按计划到岗施工的，甲方可单方面提出合同终止，乙方必须退还甲方前期支付的所有费用。且承担所造成的所有法律责任。</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、争议处理</w:t>
      </w:r>
    </w:p>
    <w:p>
      <w:pPr>
        <w:ind w:firstLine="720" w:firstLineChars="22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合同在履行期间，双方发生争执时，在不影响工程进度的前提下，双方可采取协商解决或请有关部门进行调解。当事人不愿意通过协商、调解或者协商、调解不成时，经双方同意，可向南宁仲裁委员会申请仲裁。</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w:t>
      </w:r>
      <w:r>
        <w:rPr>
          <w:rFonts w:hint="eastAsia" w:ascii="仿宋_GB2312" w:hAnsi="仿宋_GB2312" w:eastAsia="仿宋_GB2312" w:cs="仿宋_GB2312"/>
          <w:kern w:val="52"/>
          <w:sz w:val="32"/>
          <w:szCs w:val="32"/>
        </w:rPr>
        <w:t>本合同的所有附件,与本合同具有同等的法律效力。</w:t>
      </w:r>
    </w:p>
    <w:p>
      <w:pPr>
        <w:ind w:firstLine="723" w:firstLineChars="22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、其它</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1.本合同一式</w:t>
      </w:r>
      <w:r>
        <w:rPr>
          <w:rFonts w:hint="eastAsia" w:ascii="仿宋_GB2312" w:hAnsi="仿宋_GB2312" w:eastAsia="仿宋_GB2312" w:cs="仿宋_GB2312"/>
          <w:sz w:val="32"/>
          <w:szCs w:val="32"/>
          <w:u w:val="single"/>
        </w:rPr>
        <w:t xml:space="preserve">  陆</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u w:val="single"/>
        </w:rPr>
        <w:t xml:space="preserve">  叁 </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u w:val="single"/>
        </w:rPr>
        <w:t xml:space="preserve"> 叁</w:t>
      </w:r>
      <w:r>
        <w:rPr>
          <w:rFonts w:hint="eastAsia" w:ascii="仿宋_GB2312" w:hAnsi="仿宋_GB2312" w:eastAsia="仿宋_GB2312" w:cs="仿宋_GB2312"/>
          <w:sz w:val="32"/>
          <w:szCs w:val="32"/>
        </w:rPr>
        <w:t xml:space="preserve"> 份。经双方签字后立即生效。至工程验收完毕和结清工程款后失效。</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2.本合同未尽事宜，双方协商解决。</w:t>
      </w:r>
    </w:p>
    <w:p>
      <w:pPr>
        <w:rPr>
          <w:rFonts w:hint="eastAsia" w:ascii="宋体" w:hAnsi="宋体"/>
          <w:sz w:val="24"/>
        </w:rPr>
      </w:pPr>
    </w:p>
    <w:p>
      <w:pPr>
        <w:rPr>
          <w:rFonts w:hint="eastAsia" w:ascii="宋体" w:hAnsi="宋体"/>
          <w:sz w:val="24"/>
        </w:rPr>
      </w:pPr>
    </w:p>
    <w:p>
      <w:pPr>
        <w:rPr>
          <w:rFonts w:hint="eastAsia" w:ascii="宋体" w:hAnsi="宋体"/>
          <w:sz w:val="24"/>
        </w:rPr>
      </w:pPr>
    </w:p>
    <w:tbl>
      <w:tblPr>
        <w:tblStyle w:val="23"/>
        <w:tblW w:w="8820" w:type="dxa"/>
        <w:tblInd w:w="-72" w:type="dxa"/>
        <w:tblLayout w:type="fixed"/>
        <w:tblCellMar>
          <w:top w:w="0" w:type="dxa"/>
          <w:left w:w="108" w:type="dxa"/>
          <w:bottom w:w="0" w:type="dxa"/>
          <w:right w:w="108" w:type="dxa"/>
        </w:tblCellMar>
      </w:tblPr>
      <w:tblGrid>
        <w:gridCol w:w="4708"/>
        <w:gridCol w:w="4112"/>
      </w:tblGrid>
      <w:tr>
        <w:tblPrEx>
          <w:tblCellMar>
            <w:top w:w="0" w:type="dxa"/>
            <w:left w:w="108" w:type="dxa"/>
            <w:bottom w:w="0" w:type="dxa"/>
            <w:right w:w="108" w:type="dxa"/>
          </w:tblCellMar>
        </w:tblPrEx>
        <w:trPr>
          <w:trHeight w:val="926" w:hRule="atLeast"/>
        </w:trPr>
        <w:tc>
          <w:tcPr>
            <w:tcW w:w="4708" w:type="dxa"/>
            <w:noWrap w:val="0"/>
            <w:vAlign w:val="top"/>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甲方：</w:t>
            </w:r>
          </w:p>
          <w:p>
            <w:pPr>
              <w:tabs>
                <w:tab w:val="left" w:pos="5040"/>
              </w:tabs>
              <w:rPr>
                <w:rFonts w:hint="default" w:ascii="仿宋_GB2312" w:hAnsi="仿宋_GB2312" w:eastAsia="仿宋_GB2312" w:cs="仿宋_GB2312"/>
                <w:kern w:val="52"/>
                <w:sz w:val="24"/>
                <w:lang w:val="en-US" w:eastAsia="zh-CN"/>
              </w:rPr>
            </w:pPr>
            <w:r>
              <w:rPr>
                <w:rFonts w:hint="eastAsia" w:ascii="仿宋_GB2312" w:hAnsi="仿宋_GB2312" w:eastAsia="仿宋_GB2312" w:cs="仿宋_GB2312"/>
                <w:kern w:val="52"/>
                <w:sz w:val="24"/>
              </w:rPr>
              <w:t>广西</w:t>
            </w:r>
            <w:r>
              <w:rPr>
                <w:rFonts w:hint="eastAsia" w:ascii="仿宋_GB2312" w:hAnsi="仿宋_GB2312" w:eastAsia="仿宋_GB2312" w:cs="仿宋_GB2312"/>
                <w:kern w:val="52"/>
                <w:sz w:val="24"/>
                <w:lang w:val="en-US" w:eastAsia="zh-CN"/>
              </w:rPr>
              <w:t>南博国际会展有限责任公司</w:t>
            </w:r>
          </w:p>
        </w:tc>
        <w:tc>
          <w:tcPr>
            <w:tcW w:w="4112" w:type="dxa"/>
            <w:noWrap w:val="0"/>
            <w:vAlign w:val="top"/>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乙方：</w:t>
            </w:r>
          </w:p>
          <w:p>
            <w:pPr>
              <w:tabs>
                <w:tab w:val="left" w:pos="5040"/>
              </w:tabs>
              <w:rPr>
                <w:rFonts w:hint="eastAsia" w:ascii="仿宋_GB2312" w:hAnsi="仿宋_GB2312" w:eastAsia="仿宋_GB2312" w:cs="仿宋_GB2312"/>
                <w:kern w:val="52"/>
                <w:sz w:val="24"/>
              </w:rPr>
            </w:pPr>
          </w:p>
        </w:tc>
      </w:tr>
      <w:tr>
        <w:tblPrEx>
          <w:tblCellMar>
            <w:top w:w="0" w:type="dxa"/>
            <w:left w:w="108" w:type="dxa"/>
            <w:bottom w:w="0" w:type="dxa"/>
            <w:right w:w="108" w:type="dxa"/>
          </w:tblCellMar>
        </w:tblPrEx>
        <w:trPr>
          <w:trHeight w:val="443" w:hRule="atLeast"/>
        </w:trPr>
        <w:tc>
          <w:tcPr>
            <w:tcW w:w="4708"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c>
          <w:tcPr>
            <w:tcW w:w="4112"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r>
      <w:tr>
        <w:tblPrEx>
          <w:tblCellMar>
            <w:top w:w="0" w:type="dxa"/>
            <w:left w:w="108" w:type="dxa"/>
            <w:bottom w:w="0" w:type="dxa"/>
            <w:right w:w="108" w:type="dxa"/>
          </w:tblCellMar>
        </w:tblPrEx>
        <w:trPr>
          <w:trHeight w:val="640" w:hRule="atLeast"/>
        </w:trPr>
        <w:tc>
          <w:tcPr>
            <w:tcW w:w="4708"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c>
          <w:tcPr>
            <w:tcW w:w="4112"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r>
      <w:tr>
        <w:tblPrEx>
          <w:tblCellMar>
            <w:top w:w="0" w:type="dxa"/>
            <w:left w:w="108" w:type="dxa"/>
            <w:bottom w:w="0" w:type="dxa"/>
            <w:right w:w="108" w:type="dxa"/>
          </w:tblCellMar>
        </w:tblPrEx>
        <w:trPr>
          <w:trHeight w:val="701" w:hRule="atLeast"/>
        </w:trPr>
        <w:tc>
          <w:tcPr>
            <w:tcW w:w="4708"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r>
              <w:rPr>
                <w:rFonts w:hint="eastAsia" w:ascii="仿宋_GB2312" w:hAnsi="仿宋_GB2312" w:eastAsia="仿宋_GB2312" w:cs="仿宋_GB2312"/>
                <w:spacing w:val="-20"/>
                <w:sz w:val="24"/>
              </w:rPr>
              <w:t>南宁市青秀区会展路18号会展大厦</w:t>
            </w:r>
          </w:p>
        </w:tc>
        <w:tc>
          <w:tcPr>
            <w:tcW w:w="4112" w:type="dxa"/>
            <w:noWrap w:val="0"/>
            <w:vAlign w:val="center"/>
          </w:tcPr>
          <w:p>
            <w:pPr>
              <w:tabs>
                <w:tab w:val="left" w:pos="5040"/>
              </w:tabs>
              <w:ind w:left="1200" w:hanging="1200" w:hangingChars="500"/>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p>
        </w:tc>
      </w:tr>
      <w:tr>
        <w:tblPrEx>
          <w:tblCellMar>
            <w:top w:w="0" w:type="dxa"/>
            <w:left w:w="108" w:type="dxa"/>
            <w:bottom w:w="0" w:type="dxa"/>
            <w:right w:w="108" w:type="dxa"/>
          </w:tblCellMar>
        </w:tblPrEx>
        <w:trPr>
          <w:trHeight w:val="771" w:hRule="atLeast"/>
        </w:trPr>
        <w:tc>
          <w:tcPr>
            <w:tcW w:w="4708" w:type="dxa"/>
            <w:noWrap w:val="0"/>
            <w:vAlign w:val="center"/>
          </w:tcPr>
          <w:p>
            <w:pP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开户银行：南宁市区农村信用合作联社怡宾分社</w:t>
            </w:r>
          </w:p>
          <w:p>
            <w:pPr>
              <w:tabs>
                <w:tab w:val="left" w:pos="5040"/>
              </w:tabs>
              <w:rPr>
                <w:rFonts w:hint="eastAsia" w:ascii="仿宋_GB2312" w:hAnsi="仿宋_GB2312" w:eastAsia="仿宋_GB2312" w:cs="仿宋_GB2312"/>
                <w:kern w:val="52"/>
                <w:sz w:val="24"/>
              </w:rPr>
            </w:pPr>
          </w:p>
        </w:tc>
        <w:tc>
          <w:tcPr>
            <w:tcW w:w="4112"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 xml:space="preserve">开户银行： </w:t>
            </w:r>
          </w:p>
        </w:tc>
      </w:tr>
    </w:tbl>
    <w:p>
      <w:pPr>
        <w:rPr>
          <w:rFonts w:eastAsia="仿宋_GB2312"/>
          <w:sz w:val="30"/>
          <w:szCs w:val="30"/>
        </w:rPr>
      </w:pPr>
    </w:p>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8EBB"/>
    <w:multiLevelType w:val="singleLevel"/>
    <w:tmpl w:val="2EEC8EBB"/>
    <w:lvl w:ilvl="0" w:tentative="0">
      <w:start w:val="8"/>
      <w:numFmt w:val="chineseCounting"/>
      <w:suff w:val="nothing"/>
      <w:lvlText w:val="%1、"/>
      <w:lvlJc w:val="left"/>
      <w:rPr>
        <w:rFonts w:hint="eastAsia"/>
      </w:rPr>
    </w:lvl>
  </w:abstractNum>
  <w:abstractNum w:abstractNumId="1">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3E0E46"/>
    <w:rsid w:val="0142219E"/>
    <w:rsid w:val="01476383"/>
    <w:rsid w:val="01527427"/>
    <w:rsid w:val="01527995"/>
    <w:rsid w:val="01542667"/>
    <w:rsid w:val="017D4387"/>
    <w:rsid w:val="019A646E"/>
    <w:rsid w:val="01B222C1"/>
    <w:rsid w:val="01C0392A"/>
    <w:rsid w:val="01CC1293"/>
    <w:rsid w:val="01D049D2"/>
    <w:rsid w:val="01D75277"/>
    <w:rsid w:val="01EB5E7F"/>
    <w:rsid w:val="01F11EDF"/>
    <w:rsid w:val="01F82409"/>
    <w:rsid w:val="020A48F7"/>
    <w:rsid w:val="021301D4"/>
    <w:rsid w:val="022C7095"/>
    <w:rsid w:val="025522F0"/>
    <w:rsid w:val="02664C68"/>
    <w:rsid w:val="026A498F"/>
    <w:rsid w:val="028C6B2D"/>
    <w:rsid w:val="02915183"/>
    <w:rsid w:val="02B73A45"/>
    <w:rsid w:val="02C313DB"/>
    <w:rsid w:val="02C57F48"/>
    <w:rsid w:val="02E25757"/>
    <w:rsid w:val="02F81EC5"/>
    <w:rsid w:val="030F6B95"/>
    <w:rsid w:val="03173A2A"/>
    <w:rsid w:val="031754F7"/>
    <w:rsid w:val="032835D3"/>
    <w:rsid w:val="03586D0D"/>
    <w:rsid w:val="035B6146"/>
    <w:rsid w:val="036946C1"/>
    <w:rsid w:val="037642BF"/>
    <w:rsid w:val="039430EB"/>
    <w:rsid w:val="039447AC"/>
    <w:rsid w:val="039E4BC5"/>
    <w:rsid w:val="03A026FC"/>
    <w:rsid w:val="03C54EF5"/>
    <w:rsid w:val="03C61225"/>
    <w:rsid w:val="03CD281D"/>
    <w:rsid w:val="03D83EF0"/>
    <w:rsid w:val="03EA640D"/>
    <w:rsid w:val="03EF7D1E"/>
    <w:rsid w:val="03F7309C"/>
    <w:rsid w:val="043A1C89"/>
    <w:rsid w:val="04617847"/>
    <w:rsid w:val="04A652B4"/>
    <w:rsid w:val="04AD320E"/>
    <w:rsid w:val="04B1398F"/>
    <w:rsid w:val="04BD6CA4"/>
    <w:rsid w:val="04C7287A"/>
    <w:rsid w:val="04CC4DC3"/>
    <w:rsid w:val="04DB20B1"/>
    <w:rsid w:val="05007CE5"/>
    <w:rsid w:val="05041AAC"/>
    <w:rsid w:val="051979D0"/>
    <w:rsid w:val="051B26BF"/>
    <w:rsid w:val="053F110D"/>
    <w:rsid w:val="054438A5"/>
    <w:rsid w:val="05485DC5"/>
    <w:rsid w:val="055044A7"/>
    <w:rsid w:val="05596EF8"/>
    <w:rsid w:val="056E28FC"/>
    <w:rsid w:val="057878C7"/>
    <w:rsid w:val="05873643"/>
    <w:rsid w:val="05897048"/>
    <w:rsid w:val="05A03620"/>
    <w:rsid w:val="05B07D8A"/>
    <w:rsid w:val="05DD3229"/>
    <w:rsid w:val="05DD4C7F"/>
    <w:rsid w:val="05E20F69"/>
    <w:rsid w:val="05E31C58"/>
    <w:rsid w:val="05EB2FCD"/>
    <w:rsid w:val="05F17CED"/>
    <w:rsid w:val="05F93342"/>
    <w:rsid w:val="05FE19B7"/>
    <w:rsid w:val="060E77B1"/>
    <w:rsid w:val="061E1E98"/>
    <w:rsid w:val="062D552F"/>
    <w:rsid w:val="062D7D5C"/>
    <w:rsid w:val="063F730F"/>
    <w:rsid w:val="06516C9E"/>
    <w:rsid w:val="06767C89"/>
    <w:rsid w:val="067C76D1"/>
    <w:rsid w:val="06991874"/>
    <w:rsid w:val="06AE2DE0"/>
    <w:rsid w:val="06B93F32"/>
    <w:rsid w:val="06E16447"/>
    <w:rsid w:val="0707361E"/>
    <w:rsid w:val="07074459"/>
    <w:rsid w:val="070B51B8"/>
    <w:rsid w:val="070B6E37"/>
    <w:rsid w:val="07132AA8"/>
    <w:rsid w:val="072B6EE6"/>
    <w:rsid w:val="073F3436"/>
    <w:rsid w:val="07711E84"/>
    <w:rsid w:val="07747C04"/>
    <w:rsid w:val="077A14B3"/>
    <w:rsid w:val="079856B5"/>
    <w:rsid w:val="07A454ED"/>
    <w:rsid w:val="07AC4AD0"/>
    <w:rsid w:val="07AD47DA"/>
    <w:rsid w:val="07BC3E6D"/>
    <w:rsid w:val="07BF66C6"/>
    <w:rsid w:val="07ED07B2"/>
    <w:rsid w:val="07F66BEA"/>
    <w:rsid w:val="07F77481"/>
    <w:rsid w:val="07F97A59"/>
    <w:rsid w:val="07FC1ABB"/>
    <w:rsid w:val="07FD5AE2"/>
    <w:rsid w:val="08077A1D"/>
    <w:rsid w:val="08125C8E"/>
    <w:rsid w:val="0818685D"/>
    <w:rsid w:val="083830B1"/>
    <w:rsid w:val="083F43B4"/>
    <w:rsid w:val="085022AB"/>
    <w:rsid w:val="087E4E8B"/>
    <w:rsid w:val="089A5A2C"/>
    <w:rsid w:val="08BE55C1"/>
    <w:rsid w:val="08C31C06"/>
    <w:rsid w:val="08CA745E"/>
    <w:rsid w:val="08CC584A"/>
    <w:rsid w:val="08D32422"/>
    <w:rsid w:val="08DD2BE4"/>
    <w:rsid w:val="08E469F0"/>
    <w:rsid w:val="091E08A7"/>
    <w:rsid w:val="09417231"/>
    <w:rsid w:val="09432E88"/>
    <w:rsid w:val="094F6CE1"/>
    <w:rsid w:val="095121E3"/>
    <w:rsid w:val="09672445"/>
    <w:rsid w:val="09684C63"/>
    <w:rsid w:val="096C7048"/>
    <w:rsid w:val="09730A8E"/>
    <w:rsid w:val="09CF6E42"/>
    <w:rsid w:val="09D97F9C"/>
    <w:rsid w:val="09DE75FA"/>
    <w:rsid w:val="09E03094"/>
    <w:rsid w:val="0A094604"/>
    <w:rsid w:val="0A0A37C3"/>
    <w:rsid w:val="0A475F5C"/>
    <w:rsid w:val="0A561720"/>
    <w:rsid w:val="0A6E316C"/>
    <w:rsid w:val="0A737A8B"/>
    <w:rsid w:val="0A7E503F"/>
    <w:rsid w:val="0A835BFB"/>
    <w:rsid w:val="0AB520B7"/>
    <w:rsid w:val="0AB71A45"/>
    <w:rsid w:val="0AEC4C96"/>
    <w:rsid w:val="0AEC69D2"/>
    <w:rsid w:val="0B0D7A65"/>
    <w:rsid w:val="0B1E332E"/>
    <w:rsid w:val="0B2F51F2"/>
    <w:rsid w:val="0B4B3BCC"/>
    <w:rsid w:val="0B5002B7"/>
    <w:rsid w:val="0B5448DF"/>
    <w:rsid w:val="0B595286"/>
    <w:rsid w:val="0B5B5534"/>
    <w:rsid w:val="0B657C65"/>
    <w:rsid w:val="0B7A6FB4"/>
    <w:rsid w:val="0B95043B"/>
    <w:rsid w:val="0BB233AF"/>
    <w:rsid w:val="0BB31514"/>
    <w:rsid w:val="0BC927C5"/>
    <w:rsid w:val="0BD0579F"/>
    <w:rsid w:val="0BF31018"/>
    <w:rsid w:val="0BF67D18"/>
    <w:rsid w:val="0BFF37D2"/>
    <w:rsid w:val="0C020614"/>
    <w:rsid w:val="0C090D7B"/>
    <w:rsid w:val="0C270809"/>
    <w:rsid w:val="0C2E371E"/>
    <w:rsid w:val="0C424A31"/>
    <w:rsid w:val="0C5A5365"/>
    <w:rsid w:val="0C720718"/>
    <w:rsid w:val="0C7A7F54"/>
    <w:rsid w:val="0C94723A"/>
    <w:rsid w:val="0C9C6504"/>
    <w:rsid w:val="0C9F1F8C"/>
    <w:rsid w:val="0CB434B9"/>
    <w:rsid w:val="0CC8315A"/>
    <w:rsid w:val="0CD02516"/>
    <w:rsid w:val="0CDC2F85"/>
    <w:rsid w:val="0CF25D29"/>
    <w:rsid w:val="0D191018"/>
    <w:rsid w:val="0D1A6FD4"/>
    <w:rsid w:val="0D235E02"/>
    <w:rsid w:val="0D4F411C"/>
    <w:rsid w:val="0D534E34"/>
    <w:rsid w:val="0D744242"/>
    <w:rsid w:val="0D82472A"/>
    <w:rsid w:val="0D9F1B85"/>
    <w:rsid w:val="0DB84190"/>
    <w:rsid w:val="0DB9298F"/>
    <w:rsid w:val="0DDB7297"/>
    <w:rsid w:val="0DE8662A"/>
    <w:rsid w:val="0DE91C5C"/>
    <w:rsid w:val="0DFA21CE"/>
    <w:rsid w:val="0E106D9E"/>
    <w:rsid w:val="0E177C38"/>
    <w:rsid w:val="0E1D4790"/>
    <w:rsid w:val="0E2A10F3"/>
    <w:rsid w:val="0E2B078C"/>
    <w:rsid w:val="0E2B4819"/>
    <w:rsid w:val="0E2F65D2"/>
    <w:rsid w:val="0E302644"/>
    <w:rsid w:val="0E345142"/>
    <w:rsid w:val="0E376654"/>
    <w:rsid w:val="0E3E15AE"/>
    <w:rsid w:val="0E3F13A6"/>
    <w:rsid w:val="0E51509C"/>
    <w:rsid w:val="0E5A5A90"/>
    <w:rsid w:val="0E7C7C0E"/>
    <w:rsid w:val="0EB33885"/>
    <w:rsid w:val="0EC05CC5"/>
    <w:rsid w:val="0EC7188C"/>
    <w:rsid w:val="0EDD124A"/>
    <w:rsid w:val="0EE0513A"/>
    <w:rsid w:val="0F021423"/>
    <w:rsid w:val="0F347314"/>
    <w:rsid w:val="0F3933BC"/>
    <w:rsid w:val="0F3B23BB"/>
    <w:rsid w:val="0F4818B9"/>
    <w:rsid w:val="0F4D1D48"/>
    <w:rsid w:val="0F652DC9"/>
    <w:rsid w:val="0F67352F"/>
    <w:rsid w:val="0F6C640A"/>
    <w:rsid w:val="0F7A4B4C"/>
    <w:rsid w:val="0FB977F4"/>
    <w:rsid w:val="0FDA6B6A"/>
    <w:rsid w:val="0FE563E7"/>
    <w:rsid w:val="0FF74E10"/>
    <w:rsid w:val="10062D67"/>
    <w:rsid w:val="100E2E39"/>
    <w:rsid w:val="10296DC9"/>
    <w:rsid w:val="102D75C4"/>
    <w:rsid w:val="10391BBC"/>
    <w:rsid w:val="10472449"/>
    <w:rsid w:val="10557D48"/>
    <w:rsid w:val="10953E0F"/>
    <w:rsid w:val="10992FD3"/>
    <w:rsid w:val="10BC6302"/>
    <w:rsid w:val="10E23E78"/>
    <w:rsid w:val="10F679FE"/>
    <w:rsid w:val="10FF402E"/>
    <w:rsid w:val="1116550E"/>
    <w:rsid w:val="113D650C"/>
    <w:rsid w:val="11632936"/>
    <w:rsid w:val="116F63C4"/>
    <w:rsid w:val="11787FC5"/>
    <w:rsid w:val="118403EC"/>
    <w:rsid w:val="11BB44DC"/>
    <w:rsid w:val="11CD1B04"/>
    <w:rsid w:val="11CD604A"/>
    <w:rsid w:val="11D47ECD"/>
    <w:rsid w:val="11DC3D48"/>
    <w:rsid w:val="11DE7E7B"/>
    <w:rsid w:val="11EB0252"/>
    <w:rsid w:val="11F11428"/>
    <w:rsid w:val="12055E70"/>
    <w:rsid w:val="120774C4"/>
    <w:rsid w:val="120D5587"/>
    <w:rsid w:val="12116E54"/>
    <w:rsid w:val="123D2231"/>
    <w:rsid w:val="12474BFE"/>
    <w:rsid w:val="126234C0"/>
    <w:rsid w:val="126E3C39"/>
    <w:rsid w:val="127A4A2E"/>
    <w:rsid w:val="12A04817"/>
    <w:rsid w:val="12A33F7C"/>
    <w:rsid w:val="12B46ECD"/>
    <w:rsid w:val="12BE46F2"/>
    <w:rsid w:val="12D13D5C"/>
    <w:rsid w:val="12DB2885"/>
    <w:rsid w:val="12ED2A67"/>
    <w:rsid w:val="130A7F82"/>
    <w:rsid w:val="13134B18"/>
    <w:rsid w:val="131F4A42"/>
    <w:rsid w:val="132541D3"/>
    <w:rsid w:val="1339557C"/>
    <w:rsid w:val="13412C96"/>
    <w:rsid w:val="13440BFD"/>
    <w:rsid w:val="13515F5E"/>
    <w:rsid w:val="13550F6E"/>
    <w:rsid w:val="13677F94"/>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514109"/>
    <w:rsid w:val="145D1103"/>
    <w:rsid w:val="146E1D64"/>
    <w:rsid w:val="146F7B62"/>
    <w:rsid w:val="14745C5A"/>
    <w:rsid w:val="149F3444"/>
    <w:rsid w:val="14A81088"/>
    <w:rsid w:val="14CC2DBF"/>
    <w:rsid w:val="14F71358"/>
    <w:rsid w:val="15077C9D"/>
    <w:rsid w:val="15282BB2"/>
    <w:rsid w:val="152A232F"/>
    <w:rsid w:val="15360496"/>
    <w:rsid w:val="15394B0D"/>
    <w:rsid w:val="153E7330"/>
    <w:rsid w:val="154A1684"/>
    <w:rsid w:val="15733B7B"/>
    <w:rsid w:val="158C6E44"/>
    <w:rsid w:val="159E34AE"/>
    <w:rsid w:val="159F330D"/>
    <w:rsid w:val="15B529F8"/>
    <w:rsid w:val="15B73CD2"/>
    <w:rsid w:val="15C46A1C"/>
    <w:rsid w:val="15CB6A56"/>
    <w:rsid w:val="15CE2EAF"/>
    <w:rsid w:val="15D14863"/>
    <w:rsid w:val="15E41975"/>
    <w:rsid w:val="15FC5FF9"/>
    <w:rsid w:val="16087C25"/>
    <w:rsid w:val="162D3A65"/>
    <w:rsid w:val="162E05FB"/>
    <w:rsid w:val="16356F60"/>
    <w:rsid w:val="16505BB9"/>
    <w:rsid w:val="1672400C"/>
    <w:rsid w:val="16765032"/>
    <w:rsid w:val="168319E7"/>
    <w:rsid w:val="168A5F17"/>
    <w:rsid w:val="16990AAF"/>
    <w:rsid w:val="16A0656D"/>
    <w:rsid w:val="16A3330D"/>
    <w:rsid w:val="16B30077"/>
    <w:rsid w:val="16CD7355"/>
    <w:rsid w:val="16DD3EC8"/>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BC2444"/>
    <w:rsid w:val="18F833E4"/>
    <w:rsid w:val="18FC05A2"/>
    <w:rsid w:val="19037756"/>
    <w:rsid w:val="19056B3A"/>
    <w:rsid w:val="191C1476"/>
    <w:rsid w:val="195E6DB5"/>
    <w:rsid w:val="197567FA"/>
    <w:rsid w:val="19785587"/>
    <w:rsid w:val="197E4797"/>
    <w:rsid w:val="19856648"/>
    <w:rsid w:val="198E5B2E"/>
    <w:rsid w:val="199076A5"/>
    <w:rsid w:val="19A861EF"/>
    <w:rsid w:val="19B07C91"/>
    <w:rsid w:val="19BF6E62"/>
    <w:rsid w:val="19E70C3A"/>
    <w:rsid w:val="19FF08BC"/>
    <w:rsid w:val="1A0643D1"/>
    <w:rsid w:val="1A1F7D28"/>
    <w:rsid w:val="1A2951FD"/>
    <w:rsid w:val="1A3D5ECC"/>
    <w:rsid w:val="1A441CB3"/>
    <w:rsid w:val="1A44258B"/>
    <w:rsid w:val="1A550EFD"/>
    <w:rsid w:val="1A583FB2"/>
    <w:rsid w:val="1A607435"/>
    <w:rsid w:val="1A666A7B"/>
    <w:rsid w:val="1A70422C"/>
    <w:rsid w:val="1AA47053"/>
    <w:rsid w:val="1AAC5942"/>
    <w:rsid w:val="1AB332CE"/>
    <w:rsid w:val="1AB42EC0"/>
    <w:rsid w:val="1ABB5C5B"/>
    <w:rsid w:val="1AC755AB"/>
    <w:rsid w:val="1AEE7D95"/>
    <w:rsid w:val="1AF01104"/>
    <w:rsid w:val="1B021B45"/>
    <w:rsid w:val="1B04070E"/>
    <w:rsid w:val="1B0A3A74"/>
    <w:rsid w:val="1B1441D2"/>
    <w:rsid w:val="1B1F3E17"/>
    <w:rsid w:val="1B4A6D12"/>
    <w:rsid w:val="1B6C7DC7"/>
    <w:rsid w:val="1B760F08"/>
    <w:rsid w:val="1B822EB2"/>
    <w:rsid w:val="1B8E5F20"/>
    <w:rsid w:val="1B927B65"/>
    <w:rsid w:val="1B966D8B"/>
    <w:rsid w:val="1BA01168"/>
    <w:rsid w:val="1BAB0A0D"/>
    <w:rsid w:val="1BB33679"/>
    <w:rsid w:val="1BB42DF4"/>
    <w:rsid w:val="1BEB0CE8"/>
    <w:rsid w:val="1BEC2496"/>
    <w:rsid w:val="1BF10372"/>
    <w:rsid w:val="1BF94EED"/>
    <w:rsid w:val="1C14427E"/>
    <w:rsid w:val="1C257E02"/>
    <w:rsid w:val="1C27031F"/>
    <w:rsid w:val="1C27687E"/>
    <w:rsid w:val="1C2A5B92"/>
    <w:rsid w:val="1C523D24"/>
    <w:rsid w:val="1C7E2063"/>
    <w:rsid w:val="1CAF3C08"/>
    <w:rsid w:val="1CB24C63"/>
    <w:rsid w:val="1CBD3BF3"/>
    <w:rsid w:val="1CC17F56"/>
    <w:rsid w:val="1CCA6490"/>
    <w:rsid w:val="1CCD4EC5"/>
    <w:rsid w:val="1CD52EF5"/>
    <w:rsid w:val="1CD655B7"/>
    <w:rsid w:val="1CF159FA"/>
    <w:rsid w:val="1D0E65A8"/>
    <w:rsid w:val="1D2A0583"/>
    <w:rsid w:val="1D2A1C56"/>
    <w:rsid w:val="1D336E04"/>
    <w:rsid w:val="1D3F1BCE"/>
    <w:rsid w:val="1D43489A"/>
    <w:rsid w:val="1D4E02FA"/>
    <w:rsid w:val="1D564FA4"/>
    <w:rsid w:val="1D5942D1"/>
    <w:rsid w:val="1D70487D"/>
    <w:rsid w:val="1D72583E"/>
    <w:rsid w:val="1D83547A"/>
    <w:rsid w:val="1D87363D"/>
    <w:rsid w:val="1D9D507C"/>
    <w:rsid w:val="1DA31EA4"/>
    <w:rsid w:val="1DAF233A"/>
    <w:rsid w:val="1DC26FCB"/>
    <w:rsid w:val="1DC928FF"/>
    <w:rsid w:val="1DCD328E"/>
    <w:rsid w:val="1DD02D02"/>
    <w:rsid w:val="1DDF0101"/>
    <w:rsid w:val="1DE820C9"/>
    <w:rsid w:val="1E024F37"/>
    <w:rsid w:val="1E041CBE"/>
    <w:rsid w:val="1E04562B"/>
    <w:rsid w:val="1E092AE3"/>
    <w:rsid w:val="1E230136"/>
    <w:rsid w:val="1E2406D0"/>
    <w:rsid w:val="1E267629"/>
    <w:rsid w:val="1E394DAD"/>
    <w:rsid w:val="1E3B06BF"/>
    <w:rsid w:val="1E6749DE"/>
    <w:rsid w:val="1E6F0979"/>
    <w:rsid w:val="1E6F5C74"/>
    <w:rsid w:val="1E786431"/>
    <w:rsid w:val="1E7A58B5"/>
    <w:rsid w:val="1E7C3369"/>
    <w:rsid w:val="1E8828C1"/>
    <w:rsid w:val="1E893735"/>
    <w:rsid w:val="1E9D2F7B"/>
    <w:rsid w:val="1EA42D53"/>
    <w:rsid w:val="1EB219D7"/>
    <w:rsid w:val="1EBC4038"/>
    <w:rsid w:val="1EBF2CB0"/>
    <w:rsid w:val="1EC9547E"/>
    <w:rsid w:val="1EE471F8"/>
    <w:rsid w:val="1EED565A"/>
    <w:rsid w:val="1F1156A1"/>
    <w:rsid w:val="1F1B5A46"/>
    <w:rsid w:val="1F1C70F6"/>
    <w:rsid w:val="1F387CC5"/>
    <w:rsid w:val="1F462175"/>
    <w:rsid w:val="1F486F19"/>
    <w:rsid w:val="1F4E18A1"/>
    <w:rsid w:val="1F620C94"/>
    <w:rsid w:val="1F7F3C36"/>
    <w:rsid w:val="1F847178"/>
    <w:rsid w:val="1F866AA4"/>
    <w:rsid w:val="1F9B5504"/>
    <w:rsid w:val="1FB36414"/>
    <w:rsid w:val="1FB57A6F"/>
    <w:rsid w:val="1FBA17DF"/>
    <w:rsid w:val="1FBC1E97"/>
    <w:rsid w:val="1FBF4C52"/>
    <w:rsid w:val="1FC6682A"/>
    <w:rsid w:val="1FCA7B6D"/>
    <w:rsid w:val="1FD534DD"/>
    <w:rsid w:val="1FE75529"/>
    <w:rsid w:val="20081BE8"/>
    <w:rsid w:val="201C6624"/>
    <w:rsid w:val="20282875"/>
    <w:rsid w:val="203D0348"/>
    <w:rsid w:val="203D3513"/>
    <w:rsid w:val="205B1136"/>
    <w:rsid w:val="205D0BA3"/>
    <w:rsid w:val="207E2B34"/>
    <w:rsid w:val="20813CE9"/>
    <w:rsid w:val="20871E4F"/>
    <w:rsid w:val="208A073D"/>
    <w:rsid w:val="20A4717C"/>
    <w:rsid w:val="20A73165"/>
    <w:rsid w:val="20AF260D"/>
    <w:rsid w:val="20E37568"/>
    <w:rsid w:val="20F04BDD"/>
    <w:rsid w:val="20F42B96"/>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74D0F"/>
    <w:rsid w:val="220E638B"/>
    <w:rsid w:val="2228745A"/>
    <w:rsid w:val="222C29D2"/>
    <w:rsid w:val="22315330"/>
    <w:rsid w:val="22323D8E"/>
    <w:rsid w:val="223903F4"/>
    <w:rsid w:val="223E1927"/>
    <w:rsid w:val="224B07CA"/>
    <w:rsid w:val="22522718"/>
    <w:rsid w:val="225F2422"/>
    <w:rsid w:val="2287208A"/>
    <w:rsid w:val="22947D56"/>
    <w:rsid w:val="229644AD"/>
    <w:rsid w:val="22CC37E5"/>
    <w:rsid w:val="22CF2C89"/>
    <w:rsid w:val="22DB2567"/>
    <w:rsid w:val="22FD2FB6"/>
    <w:rsid w:val="230F0B4D"/>
    <w:rsid w:val="23256591"/>
    <w:rsid w:val="232A2D19"/>
    <w:rsid w:val="233B10F2"/>
    <w:rsid w:val="23450D5A"/>
    <w:rsid w:val="234B1D8F"/>
    <w:rsid w:val="235F01CE"/>
    <w:rsid w:val="235F46FF"/>
    <w:rsid w:val="23613327"/>
    <w:rsid w:val="23796691"/>
    <w:rsid w:val="23834573"/>
    <w:rsid w:val="23A342F4"/>
    <w:rsid w:val="23B03AC9"/>
    <w:rsid w:val="23B04431"/>
    <w:rsid w:val="23BD6BB5"/>
    <w:rsid w:val="23DD3E8B"/>
    <w:rsid w:val="24023F4F"/>
    <w:rsid w:val="24092446"/>
    <w:rsid w:val="240A5DA0"/>
    <w:rsid w:val="240C6891"/>
    <w:rsid w:val="24183137"/>
    <w:rsid w:val="245A7519"/>
    <w:rsid w:val="24635F5C"/>
    <w:rsid w:val="246E097E"/>
    <w:rsid w:val="2471200E"/>
    <w:rsid w:val="248E7886"/>
    <w:rsid w:val="24BF5B0C"/>
    <w:rsid w:val="24C21CD3"/>
    <w:rsid w:val="24D23EFC"/>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CB226D"/>
    <w:rsid w:val="26CB2AA3"/>
    <w:rsid w:val="26CB3E89"/>
    <w:rsid w:val="26CE556A"/>
    <w:rsid w:val="26CE6C54"/>
    <w:rsid w:val="26D919FA"/>
    <w:rsid w:val="26DE69AF"/>
    <w:rsid w:val="270252AB"/>
    <w:rsid w:val="270F5522"/>
    <w:rsid w:val="272862A8"/>
    <w:rsid w:val="272B2C75"/>
    <w:rsid w:val="27382DA4"/>
    <w:rsid w:val="276718B1"/>
    <w:rsid w:val="27723270"/>
    <w:rsid w:val="27745BEC"/>
    <w:rsid w:val="27765BC4"/>
    <w:rsid w:val="2777261A"/>
    <w:rsid w:val="27901089"/>
    <w:rsid w:val="27A523ED"/>
    <w:rsid w:val="27AB2A25"/>
    <w:rsid w:val="27C55A13"/>
    <w:rsid w:val="27C95AA8"/>
    <w:rsid w:val="27D132C9"/>
    <w:rsid w:val="28095EF6"/>
    <w:rsid w:val="28146775"/>
    <w:rsid w:val="28251265"/>
    <w:rsid w:val="282545B0"/>
    <w:rsid w:val="28261244"/>
    <w:rsid w:val="28444572"/>
    <w:rsid w:val="28515C66"/>
    <w:rsid w:val="28710B8D"/>
    <w:rsid w:val="287C39E8"/>
    <w:rsid w:val="28886CF0"/>
    <w:rsid w:val="28993D84"/>
    <w:rsid w:val="28AE6F4B"/>
    <w:rsid w:val="28B53072"/>
    <w:rsid w:val="28CC1F7D"/>
    <w:rsid w:val="28DA0A9C"/>
    <w:rsid w:val="28DC17AD"/>
    <w:rsid w:val="28E25431"/>
    <w:rsid w:val="291351AD"/>
    <w:rsid w:val="29190202"/>
    <w:rsid w:val="291961A1"/>
    <w:rsid w:val="29196A96"/>
    <w:rsid w:val="29244DF9"/>
    <w:rsid w:val="293A6411"/>
    <w:rsid w:val="294924FD"/>
    <w:rsid w:val="29493FA1"/>
    <w:rsid w:val="296340BE"/>
    <w:rsid w:val="296552D3"/>
    <w:rsid w:val="296E2AE1"/>
    <w:rsid w:val="297305D7"/>
    <w:rsid w:val="297A3781"/>
    <w:rsid w:val="29846DAB"/>
    <w:rsid w:val="29855868"/>
    <w:rsid w:val="298D6B03"/>
    <w:rsid w:val="298F3CE9"/>
    <w:rsid w:val="29B83197"/>
    <w:rsid w:val="29F45ECF"/>
    <w:rsid w:val="2A0461B9"/>
    <w:rsid w:val="2A185BD4"/>
    <w:rsid w:val="2A243411"/>
    <w:rsid w:val="2A2B5078"/>
    <w:rsid w:val="2A317394"/>
    <w:rsid w:val="2A363D68"/>
    <w:rsid w:val="2A3C791F"/>
    <w:rsid w:val="2A54188D"/>
    <w:rsid w:val="2A5667D9"/>
    <w:rsid w:val="2A5A25A6"/>
    <w:rsid w:val="2A5E71B6"/>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7B460D"/>
    <w:rsid w:val="2BCD2FFA"/>
    <w:rsid w:val="2BD94D7C"/>
    <w:rsid w:val="2BE86671"/>
    <w:rsid w:val="2BEA0B6E"/>
    <w:rsid w:val="2C123A67"/>
    <w:rsid w:val="2C1648E9"/>
    <w:rsid w:val="2C2964A3"/>
    <w:rsid w:val="2C2C4DAD"/>
    <w:rsid w:val="2C381CD4"/>
    <w:rsid w:val="2C5160BE"/>
    <w:rsid w:val="2C575F43"/>
    <w:rsid w:val="2C6A18BF"/>
    <w:rsid w:val="2C6F1FEE"/>
    <w:rsid w:val="2C71633D"/>
    <w:rsid w:val="2C7617E3"/>
    <w:rsid w:val="2C77799F"/>
    <w:rsid w:val="2C8C15EE"/>
    <w:rsid w:val="2C9C4B62"/>
    <w:rsid w:val="2CA50CED"/>
    <w:rsid w:val="2CBC60D0"/>
    <w:rsid w:val="2CCB6736"/>
    <w:rsid w:val="2CDF5F73"/>
    <w:rsid w:val="2CE248B8"/>
    <w:rsid w:val="2CF05A6F"/>
    <w:rsid w:val="2CF87CA9"/>
    <w:rsid w:val="2D051F90"/>
    <w:rsid w:val="2D10241C"/>
    <w:rsid w:val="2D2272CD"/>
    <w:rsid w:val="2D2377BF"/>
    <w:rsid w:val="2D27798F"/>
    <w:rsid w:val="2D286A17"/>
    <w:rsid w:val="2D514ABB"/>
    <w:rsid w:val="2D580B2F"/>
    <w:rsid w:val="2D6F4AA8"/>
    <w:rsid w:val="2D7D36D1"/>
    <w:rsid w:val="2D8013A8"/>
    <w:rsid w:val="2D8726C3"/>
    <w:rsid w:val="2DCF5A8A"/>
    <w:rsid w:val="2DF55A4A"/>
    <w:rsid w:val="2E104C52"/>
    <w:rsid w:val="2E29006E"/>
    <w:rsid w:val="2E2B4D58"/>
    <w:rsid w:val="2E2C0C83"/>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B00415"/>
    <w:rsid w:val="2FB10CAF"/>
    <w:rsid w:val="2FFB6B7D"/>
    <w:rsid w:val="30187894"/>
    <w:rsid w:val="30396B8C"/>
    <w:rsid w:val="30435E0A"/>
    <w:rsid w:val="30550B55"/>
    <w:rsid w:val="30627E3C"/>
    <w:rsid w:val="30633B5D"/>
    <w:rsid w:val="30652EFA"/>
    <w:rsid w:val="306646DC"/>
    <w:rsid w:val="30674A6F"/>
    <w:rsid w:val="308E0AB0"/>
    <w:rsid w:val="30912E3A"/>
    <w:rsid w:val="309F2209"/>
    <w:rsid w:val="30AA7617"/>
    <w:rsid w:val="30B44046"/>
    <w:rsid w:val="30B701E3"/>
    <w:rsid w:val="30EF538F"/>
    <w:rsid w:val="30F0569E"/>
    <w:rsid w:val="30FD3ADB"/>
    <w:rsid w:val="31012085"/>
    <w:rsid w:val="310E0902"/>
    <w:rsid w:val="3155474A"/>
    <w:rsid w:val="31557EF6"/>
    <w:rsid w:val="31915472"/>
    <w:rsid w:val="319F2FEE"/>
    <w:rsid w:val="31AD6934"/>
    <w:rsid w:val="31AE5ECA"/>
    <w:rsid w:val="31AF5861"/>
    <w:rsid w:val="31C85894"/>
    <w:rsid w:val="31C92849"/>
    <w:rsid w:val="31D76FFE"/>
    <w:rsid w:val="31F2724D"/>
    <w:rsid w:val="32021540"/>
    <w:rsid w:val="321D4956"/>
    <w:rsid w:val="32233C0F"/>
    <w:rsid w:val="322B0737"/>
    <w:rsid w:val="323F4DC3"/>
    <w:rsid w:val="325543B7"/>
    <w:rsid w:val="325E00DD"/>
    <w:rsid w:val="32684232"/>
    <w:rsid w:val="32691824"/>
    <w:rsid w:val="32732D64"/>
    <w:rsid w:val="32892261"/>
    <w:rsid w:val="328C74A3"/>
    <w:rsid w:val="32B83088"/>
    <w:rsid w:val="32BB5811"/>
    <w:rsid w:val="32CC253B"/>
    <w:rsid w:val="32D47FA0"/>
    <w:rsid w:val="32DA2B7B"/>
    <w:rsid w:val="32DC1587"/>
    <w:rsid w:val="32F55CEE"/>
    <w:rsid w:val="330013F5"/>
    <w:rsid w:val="33156F61"/>
    <w:rsid w:val="33205610"/>
    <w:rsid w:val="333B4E3A"/>
    <w:rsid w:val="336C2E61"/>
    <w:rsid w:val="3376683A"/>
    <w:rsid w:val="3393554C"/>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E380D"/>
    <w:rsid w:val="34B66FC9"/>
    <w:rsid w:val="34C05E89"/>
    <w:rsid w:val="34CA4E14"/>
    <w:rsid w:val="34D933A3"/>
    <w:rsid w:val="34DB2B3B"/>
    <w:rsid w:val="34EB5863"/>
    <w:rsid w:val="34F55FC1"/>
    <w:rsid w:val="34FA2F69"/>
    <w:rsid w:val="35000050"/>
    <w:rsid w:val="3525353B"/>
    <w:rsid w:val="35343F17"/>
    <w:rsid w:val="353C5C49"/>
    <w:rsid w:val="353E2DF6"/>
    <w:rsid w:val="354B2E08"/>
    <w:rsid w:val="35666C02"/>
    <w:rsid w:val="35751EA0"/>
    <w:rsid w:val="35805D66"/>
    <w:rsid w:val="3591773D"/>
    <w:rsid w:val="35A5338A"/>
    <w:rsid w:val="35A96073"/>
    <w:rsid w:val="35F308AF"/>
    <w:rsid w:val="35F970D4"/>
    <w:rsid w:val="36077A55"/>
    <w:rsid w:val="360D74C3"/>
    <w:rsid w:val="361661DF"/>
    <w:rsid w:val="361E4259"/>
    <w:rsid w:val="36236AA9"/>
    <w:rsid w:val="362B4E9B"/>
    <w:rsid w:val="363007E6"/>
    <w:rsid w:val="36340742"/>
    <w:rsid w:val="3638250E"/>
    <w:rsid w:val="363C0EAC"/>
    <w:rsid w:val="365A6ADC"/>
    <w:rsid w:val="368C5227"/>
    <w:rsid w:val="36935511"/>
    <w:rsid w:val="36A96732"/>
    <w:rsid w:val="36B34920"/>
    <w:rsid w:val="36C24ED1"/>
    <w:rsid w:val="36F76800"/>
    <w:rsid w:val="36FC37C0"/>
    <w:rsid w:val="37184056"/>
    <w:rsid w:val="371D2EED"/>
    <w:rsid w:val="37200F4E"/>
    <w:rsid w:val="373F21B3"/>
    <w:rsid w:val="37403910"/>
    <w:rsid w:val="374D55A9"/>
    <w:rsid w:val="37564E20"/>
    <w:rsid w:val="3772316F"/>
    <w:rsid w:val="37727299"/>
    <w:rsid w:val="377A552B"/>
    <w:rsid w:val="37871445"/>
    <w:rsid w:val="378F005B"/>
    <w:rsid w:val="37990D54"/>
    <w:rsid w:val="379C69FA"/>
    <w:rsid w:val="37A9275E"/>
    <w:rsid w:val="37B43EBC"/>
    <w:rsid w:val="37BE1F94"/>
    <w:rsid w:val="37C653EC"/>
    <w:rsid w:val="37D00F11"/>
    <w:rsid w:val="37D459EB"/>
    <w:rsid w:val="37DD1E92"/>
    <w:rsid w:val="37E87CF3"/>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70896"/>
    <w:rsid w:val="38C9300E"/>
    <w:rsid w:val="38D66648"/>
    <w:rsid w:val="39013634"/>
    <w:rsid w:val="39117D5B"/>
    <w:rsid w:val="39347612"/>
    <w:rsid w:val="39452C4E"/>
    <w:rsid w:val="394B50E0"/>
    <w:rsid w:val="394F4731"/>
    <w:rsid w:val="394F6D3C"/>
    <w:rsid w:val="39590897"/>
    <w:rsid w:val="3978120E"/>
    <w:rsid w:val="397C067B"/>
    <w:rsid w:val="39BF1E30"/>
    <w:rsid w:val="39C62B92"/>
    <w:rsid w:val="39C84AD9"/>
    <w:rsid w:val="39DA5943"/>
    <w:rsid w:val="39DD7775"/>
    <w:rsid w:val="39E73F03"/>
    <w:rsid w:val="39E96E3B"/>
    <w:rsid w:val="39F3199C"/>
    <w:rsid w:val="39FF3D77"/>
    <w:rsid w:val="3A2A065C"/>
    <w:rsid w:val="3A32248D"/>
    <w:rsid w:val="3A3321AD"/>
    <w:rsid w:val="3A482CE2"/>
    <w:rsid w:val="3A6F7648"/>
    <w:rsid w:val="3A7B5612"/>
    <w:rsid w:val="3A8111AC"/>
    <w:rsid w:val="3A8B2B16"/>
    <w:rsid w:val="3A9928EF"/>
    <w:rsid w:val="3AAF0B31"/>
    <w:rsid w:val="3ACA127A"/>
    <w:rsid w:val="3AD05E59"/>
    <w:rsid w:val="3AD24A30"/>
    <w:rsid w:val="3AE53AA2"/>
    <w:rsid w:val="3AF64521"/>
    <w:rsid w:val="3B084335"/>
    <w:rsid w:val="3B1161BF"/>
    <w:rsid w:val="3B196E45"/>
    <w:rsid w:val="3B205783"/>
    <w:rsid w:val="3B4A3E57"/>
    <w:rsid w:val="3B545B73"/>
    <w:rsid w:val="3B567C6F"/>
    <w:rsid w:val="3B702729"/>
    <w:rsid w:val="3B755B73"/>
    <w:rsid w:val="3B847509"/>
    <w:rsid w:val="3B857BCF"/>
    <w:rsid w:val="3B8C6D40"/>
    <w:rsid w:val="3B9A6D7E"/>
    <w:rsid w:val="3BA67B47"/>
    <w:rsid w:val="3BA94885"/>
    <w:rsid w:val="3BAF6F70"/>
    <w:rsid w:val="3BC21BDF"/>
    <w:rsid w:val="3BCF7781"/>
    <w:rsid w:val="3BDA552E"/>
    <w:rsid w:val="3BEB4600"/>
    <w:rsid w:val="3C062734"/>
    <w:rsid w:val="3C217FE5"/>
    <w:rsid w:val="3C490D3D"/>
    <w:rsid w:val="3C6E722F"/>
    <w:rsid w:val="3CA50841"/>
    <w:rsid w:val="3CB43F9B"/>
    <w:rsid w:val="3CB61498"/>
    <w:rsid w:val="3CE2504B"/>
    <w:rsid w:val="3CF77E71"/>
    <w:rsid w:val="3CFD7CD9"/>
    <w:rsid w:val="3D045F8A"/>
    <w:rsid w:val="3D0E569D"/>
    <w:rsid w:val="3D293375"/>
    <w:rsid w:val="3D3324A6"/>
    <w:rsid w:val="3D433710"/>
    <w:rsid w:val="3D6721AB"/>
    <w:rsid w:val="3D6C6146"/>
    <w:rsid w:val="3D7F10C0"/>
    <w:rsid w:val="3D8C42F9"/>
    <w:rsid w:val="3D9C4659"/>
    <w:rsid w:val="3DA61E0C"/>
    <w:rsid w:val="3DAB5607"/>
    <w:rsid w:val="3DB1588F"/>
    <w:rsid w:val="3DB65618"/>
    <w:rsid w:val="3DC32C4C"/>
    <w:rsid w:val="3DC71157"/>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C91503"/>
    <w:rsid w:val="3ECE5B8B"/>
    <w:rsid w:val="3ED41500"/>
    <w:rsid w:val="3EDF4794"/>
    <w:rsid w:val="3EDF4859"/>
    <w:rsid w:val="3EE05B4A"/>
    <w:rsid w:val="3EF14BF6"/>
    <w:rsid w:val="3EF64F2D"/>
    <w:rsid w:val="3F000F96"/>
    <w:rsid w:val="3F0244B8"/>
    <w:rsid w:val="3F0B0318"/>
    <w:rsid w:val="3F11592C"/>
    <w:rsid w:val="3F3C70A8"/>
    <w:rsid w:val="3F452BAB"/>
    <w:rsid w:val="3F4725C2"/>
    <w:rsid w:val="3F480BDD"/>
    <w:rsid w:val="3F8C3A06"/>
    <w:rsid w:val="3F8D39D8"/>
    <w:rsid w:val="3FB67B7A"/>
    <w:rsid w:val="3FBA397F"/>
    <w:rsid w:val="3FC41967"/>
    <w:rsid w:val="3FD17E99"/>
    <w:rsid w:val="3FEB28BF"/>
    <w:rsid w:val="400627C1"/>
    <w:rsid w:val="40147FD2"/>
    <w:rsid w:val="401E767D"/>
    <w:rsid w:val="402120D8"/>
    <w:rsid w:val="402637A1"/>
    <w:rsid w:val="4038594E"/>
    <w:rsid w:val="40440AE1"/>
    <w:rsid w:val="40525844"/>
    <w:rsid w:val="4053581F"/>
    <w:rsid w:val="4071567D"/>
    <w:rsid w:val="40822805"/>
    <w:rsid w:val="40984DCB"/>
    <w:rsid w:val="409930E1"/>
    <w:rsid w:val="40C616F1"/>
    <w:rsid w:val="40F96444"/>
    <w:rsid w:val="41042E03"/>
    <w:rsid w:val="410521C5"/>
    <w:rsid w:val="41175D9B"/>
    <w:rsid w:val="41413D75"/>
    <w:rsid w:val="41416801"/>
    <w:rsid w:val="414674F6"/>
    <w:rsid w:val="41675FC2"/>
    <w:rsid w:val="4181104A"/>
    <w:rsid w:val="41911043"/>
    <w:rsid w:val="41A84F3E"/>
    <w:rsid w:val="41D65FDA"/>
    <w:rsid w:val="41E63887"/>
    <w:rsid w:val="41EF027E"/>
    <w:rsid w:val="4244741F"/>
    <w:rsid w:val="42464DB1"/>
    <w:rsid w:val="425A1FE8"/>
    <w:rsid w:val="42650D2B"/>
    <w:rsid w:val="42820FDF"/>
    <w:rsid w:val="42932CC4"/>
    <w:rsid w:val="42955736"/>
    <w:rsid w:val="429D42AE"/>
    <w:rsid w:val="42A35708"/>
    <w:rsid w:val="42AB325F"/>
    <w:rsid w:val="42AB4DB5"/>
    <w:rsid w:val="42AF7FAB"/>
    <w:rsid w:val="42B43128"/>
    <w:rsid w:val="42B62AA6"/>
    <w:rsid w:val="42C84007"/>
    <w:rsid w:val="42D6733E"/>
    <w:rsid w:val="42DF7D37"/>
    <w:rsid w:val="43023510"/>
    <w:rsid w:val="4316250C"/>
    <w:rsid w:val="431E3BE6"/>
    <w:rsid w:val="431F00A2"/>
    <w:rsid w:val="432623B5"/>
    <w:rsid w:val="434545E6"/>
    <w:rsid w:val="43507C9F"/>
    <w:rsid w:val="43746D38"/>
    <w:rsid w:val="43785ED3"/>
    <w:rsid w:val="437A0009"/>
    <w:rsid w:val="43857675"/>
    <w:rsid w:val="43BD62AA"/>
    <w:rsid w:val="43C94841"/>
    <w:rsid w:val="43DD35E4"/>
    <w:rsid w:val="440B3BDC"/>
    <w:rsid w:val="440F7DE7"/>
    <w:rsid w:val="44160C22"/>
    <w:rsid w:val="441E6A2E"/>
    <w:rsid w:val="443C2915"/>
    <w:rsid w:val="44403835"/>
    <w:rsid w:val="44493522"/>
    <w:rsid w:val="44521D23"/>
    <w:rsid w:val="445C0E6C"/>
    <w:rsid w:val="44605BB0"/>
    <w:rsid w:val="446904FD"/>
    <w:rsid w:val="448C0C47"/>
    <w:rsid w:val="448E319A"/>
    <w:rsid w:val="44A77C0E"/>
    <w:rsid w:val="44B360E7"/>
    <w:rsid w:val="44B7423B"/>
    <w:rsid w:val="44DC63B3"/>
    <w:rsid w:val="44E07B00"/>
    <w:rsid w:val="44E221A3"/>
    <w:rsid w:val="44F6679E"/>
    <w:rsid w:val="44F8575B"/>
    <w:rsid w:val="450D6F35"/>
    <w:rsid w:val="45155B81"/>
    <w:rsid w:val="451B715F"/>
    <w:rsid w:val="452261AF"/>
    <w:rsid w:val="4529541C"/>
    <w:rsid w:val="452E7C3B"/>
    <w:rsid w:val="45301FFF"/>
    <w:rsid w:val="45307B8E"/>
    <w:rsid w:val="456E6A92"/>
    <w:rsid w:val="4572135A"/>
    <w:rsid w:val="457D3074"/>
    <w:rsid w:val="457F3529"/>
    <w:rsid w:val="45A444E9"/>
    <w:rsid w:val="45AF38D9"/>
    <w:rsid w:val="45B05039"/>
    <w:rsid w:val="45B05353"/>
    <w:rsid w:val="45B27997"/>
    <w:rsid w:val="45D0202C"/>
    <w:rsid w:val="45E56317"/>
    <w:rsid w:val="45F428F2"/>
    <w:rsid w:val="46077498"/>
    <w:rsid w:val="460C1647"/>
    <w:rsid w:val="463A04A9"/>
    <w:rsid w:val="463A38B1"/>
    <w:rsid w:val="463C6856"/>
    <w:rsid w:val="463D3D10"/>
    <w:rsid w:val="466B531B"/>
    <w:rsid w:val="46754E9D"/>
    <w:rsid w:val="4686104B"/>
    <w:rsid w:val="4694726B"/>
    <w:rsid w:val="46A02F48"/>
    <w:rsid w:val="46F97522"/>
    <w:rsid w:val="470B140E"/>
    <w:rsid w:val="470F5CA5"/>
    <w:rsid w:val="47180927"/>
    <w:rsid w:val="471A118F"/>
    <w:rsid w:val="4721392D"/>
    <w:rsid w:val="47221468"/>
    <w:rsid w:val="472A46AD"/>
    <w:rsid w:val="472E37AA"/>
    <w:rsid w:val="4734155A"/>
    <w:rsid w:val="4736669E"/>
    <w:rsid w:val="476104DF"/>
    <w:rsid w:val="477A267B"/>
    <w:rsid w:val="47A9060E"/>
    <w:rsid w:val="48054BA6"/>
    <w:rsid w:val="481C1BDB"/>
    <w:rsid w:val="48562A8E"/>
    <w:rsid w:val="48861482"/>
    <w:rsid w:val="48B617A3"/>
    <w:rsid w:val="48B832BF"/>
    <w:rsid w:val="48BD7294"/>
    <w:rsid w:val="48C037F3"/>
    <w:rsid w:val="48D1252B"/>
    <w:rsid w:val="48EE5222"/>
    <w:rsid w:val="49011715"/>
    <w:rsid w:val="490662E1"/>
    <w:rsid w:val="49267579"/>
    <w:rsid w:val="494A2877"/>
    <w:rsid w:val="49541DB7"/>
    <w:rsid w:val="495516B2"/>
    <w:rsid w:val="4959641A"/>
    <w:rsid w:val="495E2C65"/>
    <w:rsid w:val="49677B86"/>
    <w:rsid w:val="496D5C38"/>
    <w:rsid w:val="4972652D"/>
    <w:rsid w:val="499524FE"/>
    <w:rsid w:val="499C3823"/>
    <w:rsid w:val="499C5CAE"/>
    <w:rsid w:val="499E28C4"/>
    <w:rsid w:val="49AB5C1B"/>
    <w:rsid w:val="49C60874"/>
    <w:rsid w:val="49C8127E"/>
    <w:rsid w:val="49DA2F39"/>
    <w:rsid w:val="49E272E8"/>
    <w:rsid w:val="49F16B59"/>
    <w:rsid w:val="49FC6333"/>
    <w:rsid w:val="4A095EEE"/>
    <w:rsid w:val="4A1913C9"/>
    <w:rsid w:val="4A274738"/>
    <w:rsid w:val="4A2801C6"/>
    <w:rsid w:val="4A2E6CA2"/>
    <w:rsid w:val="4A3950C5"/>
    <w:rsid w:val="4A4F1833"/>
    <w:rsid w:val="4A5C568F"/>
    <w:rsid w:val="4A6D7A33"/>
    <w:rsid w:val="4A6E4522"/>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EC45B9"/>
    <w:rsid w:val="4BF932B4"/>
    <w:rsid w:val="4C117C1C"/>
    <w:rsid w:val="4C133000"/>
    <w:rsid w:val="4C1C757E"/>
    <w:rsid w:val="4C2503E1"/>
    <w:rsid w:val="4C49621B"/>
    <w:rsid w:val="4C497F3A"/>
    <w:rsid w:val="4C5355BD"/>
    <w:rsid w:val="4C5D4892"/>
    <w:rsid w:val="4C6E5A73"/>
    <w:rsid w:val="4C733632"/>
    <w:rsid w:val="4C932081"/>
    <w:rsid w:val="4C997527"/>
    <w:rsid w:val="4C9B6649"/>
    <w:rsid w:val="4CBB7B17"/>
    <w:rsid w:val="4CC410FF"/>
    <w:rsid w:val="4CD6471E"/>
    <w:rsid w:val="4CDB7979"/>
    <w:rsid w:val="4D1B21C1"/>
    <w:rsid w:val="4D232971"/>
    <w:rsid w:val="4D234E2C"/>
    <w:rsid w:val="4D392490"/>
    <w:rsid w:val="4D5370FA"/>
    <w:rsid w:val="4D6B054C"/>
    <w:rsid w:val="4D783669"/>
    <w:rsid w:val="4D852AE4"/>
    <w:rsid w:val="4D9810F7"/>
    <w:rsid w:val="4DA20356"/>
    <w:rsid w:val="4DA449A8"/>
    <w:rsid w:val="4DAA608A"/>
    <w:rsid w:val="4DB668DD"/>
    <w:rsid w:val="4DC85C63"/>
    <w:rsid w:val="4DE4037E"/>
    <w:rsid w:val="4DED7D27"/>
    <w:rsid w:val="4E186C4C"/>
    <w:rsid w:val="4E265F89"/>
    <w:rsid w:val="4E446463"/>
    <w:rsid w:val="4E6C00C3"/>
    <w:rsid w:val="4E774FED"/>
    <w:rsid w:val="4E7C15BB"/>
    <w:rsid w:val="4E7E2D5F"/>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6E4BA9"/>
    <w:rsid w:val="4F6E672B"/>
    <w:rsid w:val="4F8D3D6E"/>
    <w:rsid w:val="4FAF37FF"/>
    <w:rsid w:val="4FB34A63"/>
    <w:rsid w:val="4FC1334C"/>
    <w:rsid w:val="4FC8449E"/>
    <w:rsid w:val="4FE5008A"/>
    <w:rsid w:val="4FF1606B"/>
    <w:rsid w:val="4FF937E6"/>
    <w:rsid w:val="4FFC5C5F"/>
    <w:rsid w:val="50093586"/>
    <w:rsid w:val="50184430"/>
    <w:rsid w:val="50267AB7"/>
    <w:rsid w:val="50312651"/>
    <w:rsid w:val="50472011"/>
    <w:rsid w:val="50484027"/>
    <w:rsid w:val="5054630B"/>
    <w:rsid w:val="50652EC2"/>
    <w:rsid w:val="50884455"/>
    <w:rsid w:val="508F712D"/>
    <w:rsid w:val="50906FFE"/>
    <w:rsid w:val="5094541F"/>
    <w:rsid w:val="509B1136"/>
    <w:rsid w:val="50A018BD"/>
    <w:rsid w:val="50A34689"/>
    <w:rsid w:val="50A67D46"/>
    <w:rsid w:val="50B1608C"/>
    <w:rsid w:val="50B30A76"/>
    <w:rsid w:val="50D83EFF"/>
    <w:rsid w:val="50DB5AD3"/>
    <w:rsid w:val="50E27833"/>
    <w:rsid w:val="50E91742"/>
    <w:rsid w:val="50FA01D8"/>
    <w:rsid w:val="510B579B"/>
    <w:rsid w:val="51374B7E"/>
    <w:rsid w:val="5138530A"/>
    <w:rsid w:val="51605F5E"/>
    <w:rsid w:val="51676CFC"/>
    <w:rsid w:val="51823A6E"/>
    <w:rsid w:val="518568D0"/>
    <w:rsid w:val="519F64FA"/>
    <w:rsid w:val="51A65507"/>
    <w:rsid w:val="51AF734D"/>
    <w:rsid w:val="51B84D67"/>
    <w:rsid w:val="51B8596F"/>
    <w:rsid w:val="51C61C99"/>
    <w:rsid w:val="51D04279"/>
    <w:rsid w:val="51D13E64"/>
    <w:rsid w:val="51D76D60"/>
    <w:rsid w:val="51DC0D90"/>
    <w:rsid w:val="51DD54C0"/>
    <w:rsid w:val="51F50273"/>
    <w:rsid w:val="521B26A7"/>
    <w:rsid w:val="521F16DE"/>
    <w:rsid w:val="5230705E"/>
    <w:rsid w:val="52396996"/>
    <w:rsid w:val="523C6286"/>
    <w:rsid w:val="523D5622"/>
    <w:rsid w:val="524902AC"/>
    <w:rsid w:val="524F6A20"/>
    <w:rsid w:val="526225A1"/>
    <w:rsid w:val="52680301"/>
    <w:rsid w:val="526D0237"/>
    <w:rsid w:val="52AD4C7B"/>
    <w:rsid w:val="52B933DF"/>
    <w:rsid w:val="52CE1C31"/>
    <w:rsid w:val="52D93118"/>
    <w:rsid w:val="52DA6D3F"/>
    <w:rsid w:val="53495010"/>
    <w:rsid w:val="53534465"/>
    <w:rsid w:val="53543018"/>
    <w:rsid w:val="535943EE"/>
    <w:rsid w:val="535F3ACA"/>
    <w:rsid w:val="536A141F"/>
    <w:rsid w:val="536F600B"/>
    <w:rsid w:val="53764E49"/>
    <w:rsid w:val="5387018B"/>
    <w:rsid w:val="539611F8"/>
    <w:rsid w:val="53B90991"/>
    <w:rsid w:val="53BC24B4"/>
    <w:rsid w:val="53D504B4"/>
    <w:rsid w:val="53D8030F"/>
    <w:rsid w:val="53E20E53"/>
    <w:rsid w:val="53F1341D"/>
    <w:rsid w:val="53F538B9"/>
    <w:rsid w:val="53FD2D08"/>
    <w:rsid w:val="53FF5392"/>
    <w:rsid w:val="540A3E40"/>
    <w:rsid w:val="541075B8"/>
    <w:rsid w:val="541732BC"/>
    <w:rsid w:val="541D12B1"/>
    <w:rsid w:val="54210CDC"/>
    <w:rsid w:val="542A4F2E"/>
    <w:rsid w:val="543932BD"/>
    <w:rsid w:val="545D360F"/>
    <w:rsid w:val="54715D77"/>
    <w:rsid w:val="547A7BED"/>
    <w:rsid w:val="5495441F"/>
    <w:rsid w:val="549F1E58"/>
    <w:rsid w:val="54B41893"/>
    <w:rsid w:val="54C5380C"/>
    <w:rsid w:val="54C75C4B"/>
    <w:rsid w:val="54E33B9C"/>
    <w:rsid w:val="54F52F97"/>
    <w:rsid w:val="550114F2"/>
    <w:rsid w:val="554C7FC1"/>
    <w:rsid w:val="55563678"/>
    <w:rsid w:val="55587098"/>
    <w:rsid w:val="55626DE5"/>
    <w:rsid w:val="55655CD7"/>
    <w:rsid w:val="556E57BE"/>
    <w:rsid w:val="55A862C8"/>
    <w:rsid w:val="55AC5186"/>
    <w:rsid w:val="55BF1D02"/>
    <w:rsid w:val="55C31BBF"/>
    <w:rsid w:val="55E3631C"/>
    <w:rsid w:val="55E75735"/>
    <w:rsid w:val="55FD2CF8"/>
    <w:rsid w:val="56126DCF"/>
    <w:rsid w:val="561E2C59"/>
    <w:rsid w:val="56277D09"/>
    <w:rsid w:val="562A3A43"/>
    <w:rsid w:val="56332C7F"/>
    <w:rsid w:val="56381FEE"/>
    <w:rsid w:val="56450E15"/>
    <w:rsid w:val="5650241D"/>
    <w:rsid w:val="565334EA"/>
    <w:rsid w:val="56561680"/>
    <w:rsid w:val="56870764"/>
    <w:rsid w:val="56887370"/>
    <w:rsid w:val="568C26FC"/>
    <w:rsid w:val="56937DD5"/>
    <w:rsid w:val="56983F19"/>
    <w:rsid w:val="569E405A"/>
    <w:rsid w:val="56B712C8"/>
    <w:rsid w:val="56B80479"/>
    <w:rsid w:val="56CC4D7C"/>
    <w:rsid w:val="56E0305A"/>
    <w:rsid w:val="56E600CC"/>
    <w:rsid w:val="56F8142F"/>
    <w:rsid w:val="56FC5E32"/>
    <w:rsid w:val="57113FE7"/>
    <w:rsid w:val="57247ABE"/>
    <w:rsid w:val="57327A80"/>
    <w:rsid w:val="5739341E"/>
    <w:rsid w:val="57435059"/>
    <w:rsid w:val="57451BD7"/>
    <w:rsid w:val="57521FDA"/>
    <w:rsid w:val="57577B95"/>
    <w:rsid w:val="575E1054"/>
    <w:rsid w:val="57752D04"/>
    <w:rsid w:val="5778160A"/>
    <w:rsid w:val="57896600"/>
    <w:rsid w:val="57902046"/>
    <w:rsid w:val="57970A84"/>
    <w:rsid w:val="57971AF4"/>
    <w:rsid w:val="57DA12C4"/>
    <w:rsid w:val="57E93E02"/>
    <w:rsid w:val="57EE261E"/>
    <w:rsid w:val="580659D8"/>
    <w:rsid w:val="58106479"/>
    <w:rsid w:val="58156B21"/>
    <w:rsid w:val="58426171"/>
    <w:rsid w:val="585D1CCA"/>
    <w:rsid w:val="58765049"/>
    <w:rsid w:val="58910C97"/>
    <w:rsid w:val="58A438B2"/>
    <w:rsid w:val="58AC3792"/>
    <w:rsid w:val="58BA1BA3"/>
    <w:rsid w:val="58C92BDD"/>
    <w:rsid w:val="58CC093A"/>
    <w:rsid w:val="58CF4C81"/>
    <w:rsid w:val="58DA62E4"/>
    <w:rsid w:val="58F70803"/>
    <w:rsid w:val="58FC6794"/>
    <w:rsid w:val="5943798E"/>
    <w:rsid w:val="5958344E"/>
    <w:rsid w:val="596973C7"/>
    <w:rsid w:val="59720BC9"/>
    <w:rsid w:val="59B86983"/>
    <w:rsid w:val="59C4584F"/>
    <w:rsid w:val="59CC03F4"/>
    <w:rsid w:val="59CD08D1"/>
    <w:rsid w:val="59E407FE"/>
    <w:rsid w:val="59E83471"/>
    <w:rsid w:val="59EF634B"/>
    <w:rsid w:val="59FC3284"/>
    <w:rsid w:val="5A155BB4"/>
    <w:rsid w:val="5A265D26"/>
    <w:rsid w:val="5A37501A"/>
    <w:rsid w:val="5A42080F"/>
    <w:rsid w:val="5A4C43F8"/>
    <w:rsid w:val="5A4F11FB"/>
    <w:rsid w:val="5A6B61A8"/>
    <w:rsid w:val="5A7D1DB7"/>
    <w:rsid w:val="5A7E113E"/>
    <w:rsid w:val="5AA341BE"/>
    <w:rsid w:val="5AC810B2"/>
    <w:rsid w:val="5AD14CE7"/>
    <w:rsid w:val="5B16700D"/>
    <w:rsid w:val="5B1C6794"/>
    <w:rsid w:val="5B205AE7"/>
    <w:rsid w:val="5B2735CA"/>
    <w:rsid w:val="5B447835"/>
    <w:rsid w:val="5B520350"/>
    <w:rsid w:val="5B527CDE"/>
    <w:rsid w:val="5B581FD1"/>
    <w:rsid w:val="5B6D4CB2"/>
    <w:rsid w:val="5B7A276E"/>
    <w:rsid w:val="5B7B231B"/>
    <w:rsid w:val="5B7B79EF"/>
    <w:rsid w:val="5B7C479C"/>
    <w:rsid w:val="5BB8301C"/>
    <w:rsid w:val="5BBD01D1"/>
    <w:rsid w:val="5BC76D82"/>
    <w:rsid w:val="5BEE17F5"/>
    <w:rsid w:val="5BF379E1"/>
    <w:rsid w:val="5C3213E7"/>
    <w:rsid w:val="5C3C78D5"/>
    <w:rsid w:val="5C3E7E01"/>
    <w:rsid w:val="5C825CE7"/>
    <w:rsid w:val="5CA77ED9"/>
    <w:rsid w:val="5CB009F8"/>
    <w:rsid w:val="5CBE1919"/>
    <w:rsid w:val="5CED6575"/>
    <w:rsid w:val="5CEF628A"/>
    <w:rsid w:val="5CF539AB"/>
    <w:rsid w:val="5CF93584"/>
    <w:rsid w:val="5D0E4944"/>
    <w:rsid w:val="5D1417A9"/>
    <w:rsid w:val="5D1E18A6"/>
    <w:rsid w:val="5D2E0B1F"/>
    <w:rsid w:val="5D477A6D"/>
    <w:rsid w:val="5D5610AF"/>
    <w:rsid w:val="5D5A4E42"/>
    <w:rsid w:val="5D643752"/>
    <w:rsid w:val="5D6D6C15"/>
    <w:rsid w:val="5D7C1F4F"/>
    <w:rsid w:val="5D972CA7"/>
    <w:rsid w:val="5D991259"/>
    <w:rsid w:val="5D9C1C76"/>
    <w:rsid w:val="5D9D3100"/>
    <w:rsid w:val="5DA47495"/>
    <w:rsid w:val="5DA53020"/>
    <w:rsid w:val="5DA641F8"/>
    <w:rsid w:val="5DC46278"/>
    <w:rsid w:val="5DD17CBF"/>
    <w:rsid w:val="5DDD5343"/>
    <w:rsid w:val="5DDF5777"/>
    <w:rsid w:val="5E1E563B"/>
    <w:rsid w:val="5E3235A6"/>
    <w:rsid w:val="5E326B06"/>
    <w:rsid w:val="5E392860"/>
    <w:rsid w:val="5E3A4342"/>
    <w:rsid w:val="5E4E77EE"/>
    <w:rsid w:val="5E57699D"/>
    <w:rsid w:val="5E595632"/>
    <w:rsid w:val="5E6C3138"/>
    <w:rsid w:val="5E7D0AFD"/>
    <w:rsid w:val="5E8D626F"/>
    <w:rsid w:val="5E9809C7"/>
    <w:rsid w:val="5EAA2BE2"/>
    <w:rsid w:val="5EAB16E6"/>
    <w:rsid w:val="5EAC528A"/>
    <w:rsid w:val="5EC86B91"/>
    <w:rsid w:val="5EF27474"/>
    <w:rsid w:val="5F002AF2"/>
    <w:rsid w:val="5F0847A3"/>
    <w:rsid w:val="5F104152"/>
    <w:rsid w:val="5F10699B"/>
    <w:rsid w:val="5F2348E7"/>
    <w:rsid w:val="5F2724C8"/>
    <w:rsid w:val="5F2A39D2"/>
    <w:rsid w:val="5F30295C"/>
    <w:rsid w:val="5F346753"/>
    <w:rsid w:val="5F4371D1"/>
    <w:rsid w:val="5F484080"/>
    <w:rsid w:val="5F485B22"/>
    <w:rsid w:val="5F5750F2"/>
    <w:rsid w:val="5F62773F"/>
    <w:rsid w:val="5F681F41"/>
    <w:rsid w:val="5F6E6C5E"/>
    <w:rsid w:val="5F6F4FC2"/>
    <w:rsid w:val="5F702BAA"/>
    <w:rsid w:val="5F954EA3"/>
    <w:rsid w:val="5FA61636"/>
    <w:rsid w:val="5FCA2A31"/>
    <w:rsid w:val="5FE006B0"/>
    <w:rsid w:val="5FE55886"/>
    <w:rsid w:val="5FF4589A"/>
    <w:rsid w:val="5FF63F7C"/>
    <w:rsid w:val="5FFB2207"/>
    <w:rsid w:val="5FFC3DA6"/>
    <w:rsid w:val="602805F2"/>
    <w:rsid w:val="602E1B39"/>
    <w:rsid w:val="608F49F6"/>
    <w:rsid w:val="609A0CA0"/>
    <w:rsid w:val="60AA2F80"/>
    <w:rsid w:val="60AB4C02"/>
    <w:rsid w:val="60B2400F"/>
    <w:rsid w:val="60C9038E"/>
    <w:rsid w:val="60CF09F1"/>
    <w:rsid w:val="60E159FB"/>
    <w:rsid w:val="60EC6218"/>
    <w:rsid w:val="60FD76CB"/>
    <w:rsid w:val="61103F72"/>
    <w:rsid w:val="611C48AF"/>
    <w:rsid w:val="61250A6F"/>
    <w:rsid w:val="61520FC3"/>
    <w:rsid w:val="617566B0"/>
    <w:rsid w:val="617A6943"/>
    <w:rsid w:val="619B1962"/>
    <w:rsid w:val="619D4C83"/>
    <w:rsid w:val="61A160DB"/>
    <w:rsid w:val="61C3142C"/>
    <w:rsid w:val="61C97702"/>
    <w:rsid w:val="61CB2D6B"/>
    <w:rsid w:val="61DE7269"/>
    <w:rsid w:val="61FC4E97"/>
    <w:rsid w:val="62170BA8"/>
    <w:rsid w:val="622A24DA"/>
    <w:rsid w:val="622F6149"/>
    <w:rsid w:val="625544AD"/>
    <w:rsid w:val="6267071D"/>
    <w:rsid w:val="6271666B"/>
    <w:rsid w:val="627476C1"/>
    <w:rsid w:val="62806833"/>
    <w:rsid w:val="62985888"/>
    <w:rsid w:val="62BA7C19"/>
    <w:rsid w:val="62D0423C"/>
    <w:rsid w:val="62D62580"/>
    <w:rsid w:val="62EE3796"/>
    <w:rsid w:val="62F07666"/>
    <w:rsid w:val="630750D0"/>
    <w:rsid w:val="63165E63"/>
    <w:rsid w:val="631B77A5"/>
    <w:rsid w:val="63431E76"/>
    <w:rsid w:val="636D3D0A"/>
    <w:rsid w:val="637441BC"/>
    <w:rsid w:val="63960A02"/>
    <w:rsid w:val="63A8171D"/>
    <w:rsid w:val="63B7275D"/>
    <w:rsid w:val="63BE0EA9"/>
    <w:rsid w:val="63BE67C1"/>
    <w:rsid w:val="63CC099D"/>
    <w:rsid w:val="63EB3B99"/>
    <w:rsid w:val="63FC0E8A"/>
    <w:rsid w:val="63FC2F89"/>
    <w:rsid w:val="64131626"/>
    <w:rsid w:val="64174C6E"/>
    <w:rsid w:val="643134C4"/>
    <w:rsid w:val="643A5CFC"/>
    <w:rsid w:val="644360ED"/>
    <w:rsid w:val="64705440"/>
    <w:rsid w:val="64726F77"/>
    <w:rsid w:val="648B01BF"/>
    <w:rsid w:val="648F65CF"/>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C07E97"/>
    <w:rsid w:val="65C2055F"/>
    <w:rsid w:val="65CB4257"/>
    <w:rsid w:val="65E74497"/>
    <w:rsid w:val="65EA0307"/>
    <w:rsid w:val="65F23E4C"/>
    <w:rsid w:val="66103209"/>
    <w:rsid w:val="66160A5D"/>
    <w:rsid w:val="662939DD"/>
    <w:rsid w:val="664D14D6"/>
    <w:rsid w:val="66604995"/>
    <w:rsid w:val="66720921"/>
    <w:rsid w:val="66855FE8"/>
    <w:rsid w:val="669311FE"/>
    <w:rsid w:val="66995A81"/>
    <w:rsid w:val="66A319F0"/>
    <w:rsid w:val="66A74C20"/>
    <w:rsid w:val="66CE4D90"/>
    <w:rsid w:val="66E81304"/>
    <w:rsid w:val="67080278"/>
    <w:rsid w:val="67096EE0"/>
    <w:rsid w:val="67223054"/>
    <w:rsid w:val="674515D9"/>
    <w:rsid w:val="678A3117"/>
    <w:rsid w:val="679A6B60"/>
    <w:rsid w:val="67A01C80"/>
    <w:rsid w:val="67CB2987"/>
    <w:rsid w:val="67CE0E84"/>
    <w:rsid w:val="67D1371F"/>
    <w:rsid w:val="67DE4DFD"/>
    <w:rsid w:val="67EE4D0F"/>
    <w:rsid w:val="67F25E85"/>
    <w:rsid w:val="67F509B6"/>
    <w:rsid w:val="67F940AD"/>
    <w:rsid w:val="68097A1F"/>
    <w:rsid w:val="681771F2"/>
    <w:rsid w:val="6818337B"/>
    <w:rsid w:val="681B754A"/>
    <w:rsid w:val="68284248"/>
    <w:rsid w:val="6840528E"/>
    <w:rsid w:val="685456FA"/>
    <w:rsid w:val="685545C9"/>
    <w:rsid w:val="685E16E2"/>
    <w:rsid w:val="688260EE"/>
    <w:rsid w:val="68870373"/>
    <w:rsid w:val="68883BB9"/>
    <w:rsid w:val="68AB41AD"/>
    <w:rsid w:val="68CA5494"/>
    <w:rsid w:val="68E872B4"/>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A0E1905"/>
    <w:rsid w:val="6A6127B0"/>
    <w:rsid w:val="6A783304"/>
    <w:rsid w:val="6A840B7A"/>
    <w:rsid w:val="6A8A3042"/>
    <w:rsid w:val="6A8B4DE6"/>
    <w:rsid w:val="6A9627D4"/>
    <w:rsid w:val="6A9639CA"/>
    <w:rsid w:val="6AB33395"/>
    <w:rsid w:val="6AB95C97"/>
    <w:rsid w:val="6ABD1A9F"/>
    <w:rsid w:val="6AC06601"/>
    <w:rsid w:val="6ADC53B5"/>
    <w:rsid w:val="6ADF5B95"/>
    <w:rsid w:val="6AEB3B58"/>
    <w:rsid w:val="6AF24973"/>
    <w:rsid w:val="6B256D99"/>
    <w:rsid w:val="6B433102"/>
    <w:rsid w:val="6B4C659B"/>
    <w:rsid w:val="6B6E67BF"/>
    <w:rsid w:val="6B7638CD"/>
    <w:rsid w:val="6B791ABB"/>
    <w:rsid w:val="6B8C3FB4"/>
    <w:rsid w:val="6B8E5D8C"/>
    <w:rsid w:val="6B952E96"/>
    <w:rsid w:val="6BA62116"/>
    <w:rsid w:val="6BAB6C27"/>
    <w:rsid w:val="6BC84ED3"/>
    <w:rsid w:val="6BD92748"/>
    <w:rsid w:val="6BDB48E4"/>
    <w:rsid w:val="6BF14C98"/>
    <w:rsid w:val="6C00060C"/>
    <w:rsid w:val="6C0764BF"/>
    <w:rsid w:val="6C0B6709"/>
    <w:rsid w:val="6C28758E"/>
    <w:rsid w:val="6C2B0615"/>
    <w:rsid w:val="6C3437DA"/>
    <w:rsid w:val="6C490CE5"/>
    <w:rsid w:val="6C540612"/>
    <w:rsid w:val="6C5C5BFF"/>
    <w:rsid w:val="6C671904"/>
    <w:rsid w:val="6C931BC9"/>
    <w:rsid w:val="6CA6734E"/>
    <w:rsid w:val="6CB47DD0"/>
    <w:rsid w:val="6CBB5A6A"/>
    <w:rsid w:val="6CF43C16"/>
    <w:rsid w:val="6D0B09BE"/>
    <w:rsid w:val="6D0C5EB1"/>
    <w:rsid w:val="6D1304FB"/>
    <w:rsid w:val="6D240F37"/>
    <w:rsid w:val="6D355635"/>
    <w:rsid w:val="6D481DA1"/>
    <w:rsid w:val="6D4A7E39"/>
    <w:rsid w:val="6D5E1691"/>
    <w:rsid w:val="6D617D9F"/>
    <w:rsid w:val="6D705A4C"/>
    <w:rsid w:val="6D7952EB"/>
    <w:rsid w:val="6D8D7B55"/>
    <w:rsid w:val="6D9C6BBB"/>
    <w:rsid w:val="6DAD64FC"/>
    <w:rsid w:val="6DBE709B"/>
    <w:rsid w:val="6DCA7002"/>
    <w:rsid w:val="6DD0773D"/>
    <w:rsid w:val="6DD30872"/>
    <w:rsid w:val="6DDF311A"/>
    <w:rsid w:val="6DE2342E"/>
    <w:rsid w:val="6E02070E"/>
    <w:rsid w:val="6E1C7CE7"/>
    <w:rsid w:val="6E291497"/>
    <w:rsid w:val="6E500F9B"/>
    <w:rsid w:val="6E570135"/>
    <w:rsid w:val="6E685ECF"/>
    <w:rsid w:val="6E834D82"/>
    <w:rsid w:val="6E8A7FFF"/>
    <w:rsid w:val="6EA51532"/>
    <w:rsid w:val="6EA84236"/>
    <w:rsid w:val="6EAF64FA"/>
    <w:rsid w:val="6EB05DDB"/>
    <w:rsid w:val="6EB73D6D"/>
    <w:rsid w:val="6EBD2470"/>
    <w:rsid w:val="6EBF2436"/>
    <w:rsid w:val="6EDC2972"/>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658D2"/>
    <w:rsid w:val="70C52592"/>
    <w:rsid w:val="70CB7542"/>
    <w:rsid w:val="70D50D2D"/>
    <w:rsid w:val="70F4390A"/>
    <w:rsid w:val="70F96820"/>
    <w:rsid w:val="71055C1E"/>
    <w:rsid w:val="710D03A5"/>
    <w:rsid w:val="71157AE0"/>
    <w:rsid w:val="71207122"/>
    <w:rsid w:val="712350CA"/>
    <w:rsid w:val="71415CAD"/>
    <w:rsid w:val="71540C9E"/>
    <w:rsid w:val="71733967"/>
    <w:rsid w:val="71884CFA"/>
    <w:rsid w:val="718D4113"/>
    <w:rsid w:val="71AB71A5"/>
    <w:rsid w:val="71AC4F97"/>
    <w:rsid w:val="71BF5ADB"/>
    <w:rsid w:val="71C66A38"/>
    <w:rsid w:val="71FE29E0"/>
    <w:rsid w:val="721B0FFE"/>
    <w:rsid w:val="722D446B"/>
    <w:rsid w:val="722E75B7"/>
    <w:rsid w:val="72363C3E"/>
    <w:rsid w:val="72490512"/>
    <w:rsid w:val="726912FF"/>
    <w:rsid w:val="72767D16"/>
    <w:rsid w:val="72857B98"/>
    <w:rsid w:val="729E435F"/>
    <w:rsid w:val="72AA445D"/>
    <w:rsid w:val="72AD18C2"/>
    <w:rsid w:val="72CD5498"/>
    <w:rsid w:val="72D2061C"/>
    <w:rsid w:val="72D773DB"/>
    <w:rsid w:val="72F9428D"/>
    <w:rsid w:val="73065AD1"/>
    <w:rsid w:val="7309250F"/>
    <w:rsid w:val="73335756"/>
    <w:rsid w:val="73357EF7"/>
    <w:rsid w:val="73474A08"/>
    <w:rsid w:val="73537D29"/>
    <w:rsid w:val="735C607F"/>
    <w:rsid w:val="73656CBC"/>
    <w:rsid w:val="73EA6D0D"/>
    <w:rsid w:val="73F13500"/>
    <w:rsid w:val="73F639E2"/>
    <w:rsid w:val="740D086A"/>
    <w:rsid w:val="740D1967"/>
    <w:rsid w:val="741A5A65"/>
    <w:rsid w:val="745D4D5A"/>
    <w:rsid w:val="74642C5A"/>
    <w:rsid w:val="746D641D"/>
    <w:rsid w:val="74832DFC"/>
    <w:rsid w:val="748408E0"/>
    <w:rsid w:val="74A3768A"/>
    <w:rsid w:val="74A77C48"/>
    <w:rsid w:val="74AD7653"/>
    <w:rsid w:val="74BE620B"/>
    <w:rsid w:val="74C5395A"/>
    <w:rsid w:val="74CE01BC"/>
    <w:rsid w:val="74CE3AC7"/>
    <w:rsid w:val="74D755EF"/>
    <w:rsid w:val="74EC5243"/>
    <w:rsid w:val="74EF2E11"/>
    <w:rsid w:val="74FC6623"/>
    <w:rsid w:val="74FD2EFA"/>
    <w:rsid w:val="75016A3A"/>
    <w:rsid w:val="75104BB5"/>
    <w:rsid w:val="7517790A"/>
    <w:rsid w:val="752422AE"/>
    <w:rsid w:val="752B42D3"/>
    <w:rsid w:val="75375928"/>
    <w:rsid w:val="753E177C"/>
    <w:rsid w:val="754617E8"/>
    <w:rsid w:val="75485E03"/>
    <w:rsid w:val="755D72E0"/>
    <w:rsid w:val="75983240"/>
    <w:rsid w:val="75DD4127"/>
    <w:rsid w:val="75E5308B"/>
    <w:rsid w:val="75F06F74"/>
    <w:rsid w:val="75FD0083"/>
    <w:rsid w:val="7600674B"/>
    <w:rsid w:val="76090640"/>
    <w:rsid w:val="760D141A"/>
    <w:rsid w:val="760D4E03"/>
    <w:rsid w:val="761F1AC7"/>
    <w:rsid w:val="76280086"/>
    <w:rsid w:val="762D187D"/>
    <w:rsid w:val="763F7FFD"/>
    <w:rsid w:val="76423C14"/>
    <w:rsid w:val="76520C79"/>
    <w:rsid w:val="766F51BD"/>
    <w:rsid w:val="76893332"/>
    <w:rsid w:val="76905E20"/>
    <w:rsid w:val="769F6FB4"/>
    <w:rsid w:val="76A86CCC"/>
    <w:rsid w:val="76B4241A"/>
    <w:rsid w:val="76C93B38"/>
    <w:rsid w:val="76CA70DF"/>
    <w:rsid w:val="76DF1B2C"/>
    <w:rsid w:val="76EA2152"/>
    <w:rsid w:val="770F08E1"/>
    <w:rsid w:val="772C5CAD"/>
    <w:rsid w:val="77303F06"/>
    <w:rsid w:val="77397202"/>
    <w:rsid w:val="773F1034"/>
    <w:rsid w:val="775374A6"/>
    <w:rsid w:val="775A5D0D"/>
    <w:rsid w:val="776975B8"/>
    <w:rsid w:val="77BD2B66"/>
    <w:rsid w:val="77C65DC6"/>
    <w:rsid w:val="77D5096D"/>
    <w:rsid w:val="77E20746"/>
    <w:rsid w:val="77E51E93"/>
    <w:rsid w:val="77FD48B1"/>
    <w:rsid w:val="780D467F"/>
    <w:rsid w:val="781439A3"/>
    <w:rsid w:val="781A08BD"/>
    <w:rsid w:val="781C40E3"/>
    <w:rsid w:val="783E3BF3"/>
    <w:rsid w:val="7840017E"/>
    <w:rsid w:val="784032B8"/>
    <w:rsid w:val="786A615E"/>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17C5D"/>
    <w:rsid w:val="794C0431"/>
    <w:rsid w:val="79506830"/>
    <w:rsid w:val="796011DB"/>
    <w:rsid w:val="797B7626"/>
    <w:rsid w:val="799424EB"/>
    <w:rsid w:val="7994467F"/>
    <w:rsid w:val="79A5719A"/>
    <w:rsid w:val="79CB52D1"/>
    <w:rsid w:val="79D01767"/>
    <w:rsid w:val="79D123DE"/>
    <w:rsid w:val="79D55CFC"/>
    <w:rsid w:val="79D85BF8"/>
    <w:rsid w:val="7A277196"/>
    <w:rsid w:val="7A2B58B4"/>
    <w:rsid w:val="7A3F46E7"/>
    <w:rsid w:val="7A4107C0"/>
    <w:rsid w:val="7A535576"/>
    <w:rsid w:val="7A8F1BDF"/>
    <w:rsid w:val="7A91327D"/>
    <w:rsid w:val="7ABD05BD"/>
    <w:rsid w:val="7AC54E2B"/>
    <w:rsid w:val="7ACD77ED"/>
    <w:rsid w:val="7AD431AD"/>
    <w:rsid w:val="7B0C0B6B"/>
    <w:rsid w:val="7B337075"/>
    <w:rsid w:val="7B35311D"/>
    <w:rsid w:val="7B373864"/>
    <w:rsid w:val="7B4E6448"/>
    <w:rsid w:val="7B6328C3"/>
    <w:rsid w:val="7B6449BD"/>
    <w:rsid w:val="7B921A5A"/>
    <w:rsid w:val="7B9F58F6"/>
    <w:rsid w:val="7BB66043"/>
    <w:rsid w:val="7BD90129"/>
    <w:rsid w:val="7BF05350"/>
    <w:rsid w:val="7BFD238C"/>
    <w:rsid w:val="7BFE4E19"/>
    <w:rsid w:val="7C2802F7"/>
    <w:rsid w:val="7C3C69DF"/>
    <w:rsid w:val="7C4F24C8"/>
    <w:rsid w:val="7C6E53D8"/>
    <w:rsid w:val="7C7F4C71"/>
    <w:rsid w:val="7C835FA6"/>
    <w:rsid w:val="7C9E08A1"/>
    <w:rsid w:val="7CA97AAF"/>
    <w:rsid w:val="7CBB0DDC"/>
    <w:rsid w:val="7CC03B4D"/>
    <w:rsid w:val="7CC40B67"/>
    <w:rsid w:val="7CCB7333"/>
    <w:rsid w:val="7CDC682D"/>
    <w:rsid w:val="7D042B2C"/>
    <w:rsid w:val="7D057A1D"/>
    <w:rsid w:val="7D143951"/>
    <w:rsid w:val="7D455C97"/>
    <w:rsid w:val="7D4736CC"/>
    <w:rsid w:val="7D486810"/>
    <w:rsid w:val="7D691EDF"/>
    <w:rsid w:val="7D881BB2"/>
    <w:rsid w:val="7D8A73EF"/>
    <w:rsid w:val="7D8D460D"/>
    <w:rsid w:val="7DA45409"/>
    <w:rsid w:val="7DA618E9"/>
    <w:rsid w:val="7DB673F6"/>
    <w:rsid w:val="7DBC673D"/>
    <w:rsid w:val="7DD37BA9"/>
    <w:rsid w:val="7DD41044"/>
    <w:rsid w:val="7DDB6CD9"/>
    <w:rsid w:val="7DEE2852"/>
    <w:rsid w:val="7DF03EB5"/>
    <w:rsid w:val="7E0632BA"/>
    <w:rsid w:val="7E1C4B16"/>
    <w:rsid w:val="7E2166FA"/>
    <w:rsid w:val="7E304849"/>
    <w:rsid w:val="7E36093C"/>
    <w:rsid w:val="7E386998"/>
    <w:rsid w:val="7E60376D"/>
    <w:rsid w:val="7E735DAC"/>
    <w:rsid w:val="7E821BD9"/>
    <w:rsid w:val="7E8D3E0D"/>
    <w:rsid w:val="7E97056D"/>
    <w:rsid w:val="7ECC1F09"/>
    <w:rsid w:val="7ECC7591"/>
    <w:rsid w:val="7ED50625"/>
    <w:rsid w:val="7ED74C43"/>
    <w:rsid w:val="7EF84021"/>
    <w:rsid w:val="7F0A2AFA"/>
    <w:rsid w:val="7F295064"/>
    <w:rsid w:val="7F4C099D"/>
    <w:rsid w:val="7F5F3EBC"/>
    <w:rsid w:val="7F7E7EB0"/>
    <w:rsid w:val="7F984462"/>
    <w:rsid w:val="7F9C5F62"/>
    <w:rsid w:val="7FB0645C"/>
    <w:rsid w:val="7FB77D46"/>
    <w:rsid w:val="7FB90DE8"/>
    <w:rsid w:val="7FD11C14"/>
    <w:rsid w:val="7FE57570"/>
    <w:rsid w:val="7FED7417"/>
    <w:rsid w:val="7FFA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6">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7">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8">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style>
  <w:style w:type="paragraph" w:styleId="10">
    <w:name w:val="Body Text"/>
    <w:basedOn w:val="1"/>
    <w:link w:val="33"/>
    <w:qFormat/>
    <w:uiPriority w:val="0"/>
    <w:pPr>
      <w:spacing w:after="120"/>
    </w:pPr>
  </w:style>
  <w:style w:type="paragraph" w:styleId="11">
    <w:name w:val="Body Text Indent"/>
    <w:basedOn w:val="1"/>
    <w:link w:val="35"/>
    <w:qFormat/>
    <w:uiPriority w:val="0"/>
    <w:pPr>
      <w:widowControl/>
      <w:jc w:val="left"/>
    </w:pPr>
    <w:rPr>
      <w:rFonts w:ascii="宋体" w:hAnsi="宋体" w:cs="宋体"/>
      <w:kern w:val="0"/>
      <w:sz w:val="24"/>
    </w:rPr>
  </w:style>
  <w:style w:type="paragraph" w:styleId="12">
    <w:name w:val="Plain Text"/>
    <w:basedOn w:val="1"/>
    <w:link w:val="36"/>
    <w:qFormat/>
    <w:uiPriority w:val="0"/>
    <w:pPr>
      <w:adjustRightInd w:val="0"/>
      <w:spacing w:line="312" w:lineRule="atLeast"/>
      <w:textAlignment w:val="baseline"/>
    </w:pPr>
    <w:rPr>
      <w:rFonts w:ascii="宋体" w:hAnsi="Courier New"/>
      <w:kern w:val="0"/>
      <w:szCs w:val="21"/>
    </w:rPr>
  </w:style>
  <w:style w:type="paragraph" w:styleId="13">
    <w:name w:val="Date"/>
    <w:basedOn w:val="1"/>
    <w:next w:val="1"/>
    <w:qFormat/>
    <w:uiPriority w:val="0"/>
    <w:pPr>
      <w:ind w:left="100" w:leftChars="2500"/>
    </w:pPr>
    <w:rPr>
      <w:sz w:val="28"/>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2"/>
    <w:qFormat/>
    <w:uiPriority w:val="0"/>
    <w:rPr>
      <w:sz w:val="18"/>
      <w:szCs w:val="18"/>
    </w:rPr>
  </w:style>
  <w:style w:type="paragraph" w:styleId="16">
    <w:name w:val="footer"/>
    <w:basedOn w:val="1"/>
    <w:link w:val="31"/>
    <w:qFormat/>
    <w:uiPriority w:val="0"/>
    <w:pPr>
      <w:tabs>
        <w:tab w:val="center" w:pos="4153"/>
        <w:tab w:val="right" w:pos="8306"/>
      </w:tabs>
      <w:snapToGrid w:val="0"/>
      <w:jc w:val="left"/>
    </w:pPr>
    <w:rPr>
      <w:sz w:val="18"/>
      <w:szCs w:val="18"/>
    </w:rPr>
  </w:style>
  <w:style w:type="paragraph" w:styleId="17">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style>
  <w:style w:type="paragraph" w:styleId="19">
    <w:name w:val="Subtitle"/>
    <w:basedOn w:val="1"/>
    <w:next w:val="1"/>
    <w:link w:val="37"/>
    <w:qFormat/>
    <w:uiPriority w:val="11"/>
    <w:pPr>
      <w:spacing w:before="240" w:after="60" w:line="312" w:lineRule="auto"/>
      <w:jc w:val="center"/>
      <w:outlineLvl w:val="1"/>
    </w:pPr>
    <w:rPr>
      <w:rFonts w:ascii="Cambria" w:hAnsi="Cambria"/>
      <w:b/>
      <w:bCs/>
      <w:kern w:val="28"/>
      <w:sz w:val="32"/>
      <w:szCs w:val="32"/>
    </w:rPr>
  </w:style>
  <w:style w:type="paragraph" w:styleId="20">
    <w:name w:val="footnote text"/>
    <w:basedOn w:val="1"/>
    <w:qFormat/>
    <w:uiPriority w:val="0"/>
    <w:pPr>
      <w:widowControl/>
      <w:jc w:val="left"/>
    </w:pPr>
    <w:rPr>
      <w:rFonts w:ascii="宋体" w:hAnsi="宋体" w:cs="宋体"/>
      <w:kern w:val="0"/>
      <w:sz w:val="24"/>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Body Text First Indent 2"/>
    <w:basedOn w:val="11"/>
    <w:link w:val="34"/>
    <w:qFormat/>
    <w:uiPriority w:val="0"/>
    <w:pPr>
      <w:widowControl w:val="0"/>
      <w:spacing w:after="120"/>
      <w:ind w:left="420" w:leftChars="200" w:firstLine="420" w:firstLineChars="200"/>
      <w:jc w:val="both"/>
    </w:pPr>
    <w:rPr>
      <w:rFonts w:ascii="Times New Roman" w:hAnsi="Times New Roman" w:cs="Times New Roman"/>
      <w:kern w:val="2"/>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Emphasis"/>
    <w:basedOn w:val="25"/>
    <w:qFormat/>
    <w:uiPriority w:val="20"/>
    <w:rPr>
      <w:color w:val="CC0000"/>
      <w:sz w:val="24"/>
      <w:szCs w:val="24"/>
    </w:rPr>
  </w:style>
  <w:style w:type="character" w:styleId="28">
    <w:name w:val="Hyperlink"/>
    <w:qFormat/>
    <w:uiPriority w:val="99"/>
    <w:rPr>
      <w:color w:val="000000"/>
      <w:u w:val="none"/>
    </w:rPr>
  </w:style>
  <w:style w:type="character" w:customStyle="1" w:styleId="29">
    <w:name w:val="页眉 Char"/>
    <w:basedOn w:val="25"/>
    <w:link w:val="17"/>
    <w:qFormat/>
    <w:uiPriority w:val="99"/>
    <w:rPr>
      <w:kern w:val="2"/>
      <w:sz w:val="18"/>
      <w:szCs w:val="18"/>
    </w:rPr>
  </w:style>
  <w:style w:type="character" w:customStyle="1" w:styleId="30">
    <w:name w:val="so-ask-best"/>
    <w:basedOn w:val="25"/>
    <w:qFormat/>
    <w:uiPriority w:val="0"/>
  </w:style>
  <w:style w:type="character" w:customStyle="1" w:styleId="31">
    <w:name w:val="页脚 Char"/>
    <w:basedOn w:val="25"/>
    <w:link w:val="16"/>
    <w:qFormat/>
    <w:uiPriority w:val="99"/>
    <w:rPr>
      <w:kern w:val="2"/>
      <w:sz w:val="18"/>
      <w:szCs w:val="18"/>
    </w:rPr>
  </w:style>
  <w:style w:type="character" w:customStyle="1" w:styleId="32">
    <w:name w:val="批注框文本 Char"/>
    <w:basedOn w:val="25"/>
    <w:link w:val="15"/>
    <w:qFormat/>
    <w:uiPriority w:val="0"/>
    <w:rPr>
      <w:kern w:val="2"/>
      <w:sz w:val="18"/>
      <w:szCs w:val="18"/>
    </w:rPr>
  </w:style>
  <w:style w:type="character" w:customStyle="1" w:styleId="33">
    <w:name w:val="正文文本 Char"/>
    <w:basedOn w:val="25"/>
    <w:link w:val="10"/>
    <w:qFormat/>
    <w:uiPriority w:val="0"/>
    <w:rPr>
      <w:kern w:val="2"/>
      <w:sz w:val="21"/>
      <w:szCs w:val="24"/>
    </w:rPr>
  </w:style>
  <w:style w:type="character" w:customStyle="1" w:styleId="34">
    <w:name w:val="正文首行缩进 2 Char"/>
    <w:basedOn w:val="35"/>
    <w:link w:val="22"/>
    <w:qFormat/>
    <w:uiPriority w:val="0"/>
  </w:style>
  <w:style w:type="character" w:customStyle="1" w:styleId="35">
    <w:name w:val="正文文本缩进 Char"/>
    <w:basedOn w:val="25"/>
    <w:link w:val="11"/>
    <w:qFormat/>
    <w:uiPriority w:val="0"/>
    <w:rPr>
      <w:rFonts w:ascii="宋体" w:hAnsi="宋体" w:cs="宋体"/>
      <w:sz w:val="24"/>
      <w:szCs w:val="24"/>
    </w:rPr>
  </w:style>
  <w:style w:type="character" w:customStyle="1" w:styleId="36">
    <w:name w:val="纯文本 Char"/>
    <w:link w:val="12"/>
    <w:qFormat/>
    <w:uiPriority w:val="0"/>
    <w:rPr>
      <w:rFonts w:ascii="宋体" w:hAnsi="Courier New" w:cs="宋体"/>
      <w:sz w:val="21"/>
      <w:szCs w:val="21"/>
    </w:rPr>
  </w:style>
  <w:style w:type="character" w:customStyle="1" w:styleId="37">
    <w:name w:val="副标题 Char"/>
    <w:basedOn w:val="25"/>
    <w:link w:val="19"/>
    <w:qFormat/>
    <w:uiPriority w:val="11"/>
    <w:rPr>
      <w:rFonts w:ascii="Cambria" w:hAnsi="Cambria"/>
      <w:b/>
      <w:bCs/>
      <w:kern w:val="28"/>
      <w:sz w:val="32"/>
      <w:szCs w:val="32"/>
    </w:rPr>
  </w:style>
  <w:style w:type="paragraph" w:customStyle="1" w:styleId="38">
    <w:name w:val="正文文本缩进 New"/>
    <w:basedOn w:val="1"/>
    <w:qFormat/>
    <w:uiPriority w:val="0"/>
  </w:style>
  <w:style w:type="paragraph" w:customStyle="1" w:styleId="3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0">
    <w:name w:val="blockquote"/>
    <w:basedOn w:val="1"/>
    <w:qFormat/>
    <w:uiPriority w:val="0"/>
    <w:pPr>
      <w:widowControl/>
      <w:jc w:val="left"/>
    </w:pPr>
    <w:rPr>
      <w:rFonts w:ascii="宋体" w:hAnsi="宋体" w:cs="宋体"/>
      <w:kern w:val="0"/>
      <w:sz w:val="24"/>
    </w:rPr>
  </w:style>
  <w:style w:type="paragraph" w:customStyle="1" w:styleId="41">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2">
    <w:name w:val="默认段落字体 Para Char"/>
    <w:basedOn w:val="1"/>
    <w:qFormat/>
    <w:uiPriority w:val="0"/>
    <w:pPr>
      <w:adjustRightInd w:val="0"/>
      <w:spacing w:line="360" w:lineRule="auto"/>
    </w:pPr>
    <w:rPr>
      <w:kern w:val="0"/>
      <w:sz w:val="24"/>
      <w:szCs w:val="20"/>
    </w:rPr>
  </w:style>
  <w:style w:type="paragraph" w:customStyle="1" w:styleId="4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列出段落1"/>
    <w:basedOn w:val="1"/>
    <w:qFormat/>
    <w:uiPriority w:val="34"/>
    <w:pPr>
      <w:ind w:firstLine="200" w:firstLineChars="200"/>
    </w:pPr>
    <w:rPr>
      <w:szCs w:val="20"/>
    </w:rPr>
  </w:style>
  <w:style w:type="character" w:customStyle="1" w:styleId="46">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1101</Words>
  <Characters>6282</Characters>
  <Lines>52</Lines>
  <Paragraphs>14</Paragraphs>
  <TotalTime>105</TotalTime>
  <ScaleCrop>false</ScaleCrop>
  <LinksUpToDate>false</LinksUpToDate>
  <CharactersWithSpaces>7369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COFCOTUNHE\qinyg</dc:creator>
  <cp:lastModifiedBy>My</cp:lastModifiedBy>
  <cp:lastPrinted>2021-11-25T00:44:00Z</cp:lastPrinted>
  <dcterms:modified xsi:type="dcterms:W3CDTF">2021-11-30T02:15:25Z</dcterms:modified>
  <dc:title>新干县工业园河西片区A-2、A-7、A-9、A-11区块土方工程,经有关部门立项,现决定对该项目施工进行公开招标,现就有关情况公告如下: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5D7FD2B7F235480CB701DD3A4C720BEB</vt:lpwstr>
  </property>
</Properties>
</file>