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rPr>
          <w:rFonts w:ascii="仿宋_GB2312" w:eastAsia="仿宋_GB2312" w:cs="仿宋_GB2312"/>
          <w:b/>
          <w:bCs/>
          <w:sz w:val="10"/>
          <w:szCs w:val="10"/>
        </w:rPr>
      </w:pPr>
      <w:bookmarkStart w:id="0" w:name="OLE_LINK2"/>
      <w:bookmarkStart w:id="1" w:name="OLE_LINK1"/>
      <w:r>
        <w:rPr>
          <w:rFonts w:hint="eastAsia" w:ascii="仿宋_GB2312" w:eastAsia="仿宋_GB2312" w:cs="仿宋_GB2312"/>
          <w:b/>
          <w:bCs/>
          <w:sz w:val="10"/>
          <w:szCs w:val="10"/>
        </w:rPr>
        <w:t xml:space="preserve">                                                 </w:t>
      </w:r>
    </w:p>
    <w:p>
      <w:pPr>
        <w:pStyle w:val="13"/>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3"/>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3"/>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3"/>
        <w:rPr>
          <w:rFonts w:hint="eastAsia" w:ascii="仿宋_GB2312" w:hAnsi="黑体" w:eastAsia="仿宋_GB2312" w:cs="仿宋_GB2312"/>
          <w:b/>
          <w:sz w:val="28"/>
          <w:szCs w:val="28"/>
        </w:rPr>
      </w:pPr>
    </w:p>
    <w:p>
      <w:pPr>
        <w:pStyle w:val="13"/>
        <w:ind w:left="2491" w:leftChars="524" w:hanging="1391" w:hangingChars="495"/>
        <w:rPr>
          <w:rFonts w:hint="eastAsia" w:ascii="仿宋_GB2312" w:hAnsi="黑体" w:eastAsia="仿宋_GB2312" w:cs="仿宋_GB2312"/>
          <w:b/>
          <w:sz w:val="28"/>
          <w:szCs w:val="28"/>
        </w:rPr>
      </w:pPr>
    </w:p>
    <w:p>
      <w:pPr>
        <w:pStyle w:val="13"/>
        <w:ind w:left="2491" w:leftChars="524" w:hanging="1391" w:hangingChars="495"/>
        <w:rPr>
          <w:rFonts w:hint="eastAsia" w:ascii="仿宋_GB2312" w:hAnsi="黑体" w:eastAsia="仿宋_GB2312" w:cs="仿宋_GB2312"/>
          <w:b/>
          <w:sz w:val="28"/>
          <w:szCs w:val="28"/>
          <w:lang w:val="en-US" w:eastAsia="zh-CN"/>
        </w:rPr>
      </w:pPr>
      <w:r>
        <w:rPr>
          <w:rFonts w:hint="eastAsia" w:ascii="仿宋_GB2312" w:hAnsi="黑体" w:eastAsia="仿宋_GB2312" w:cs="仿宋_GB2312"/>
          <w:b/>
          <w:sz w:val="28"/>
          <w:szCs w:val="28"/>
        </w:rPr>
        <w:t>项目名称：</w:t>
      </w:r>
      <w:r>
        <w:rPr>
          <w:rFonts w:hint="eastAsia" w:ascii="仿宋_GB2312" w:hAnsi="仿宋" w:eastAsia="仿宋_GB2312" w:cstheme="minorEastAsia"/>
          <w:b/>
          <w:sz w:val="28"/>
          <w:szCs w:val="28"/>
          <w:lang w:val="en-US" w:eastAsia="zh-CN"/>
        </w:rPr>
        <w:t>企业</w:t>
      </w:r>
      <w:r>
        <w:rPr>
          <w:rFonts w:hint="eastAsia" w:ascii="仿宋_GB2312" w:hAnsi="仿宋" w:eastAsia="仿宋_GB2312" w:cstheme="minorEastAsia"/>
          <w:b/>
          <w:sz w:val="28"/>
          <w:szCs w:val="28"/>
          <w:lang w:eastAsia="zh-CN"/>
        </w:rPr>
        <w:t>文化宣传设计搭建项目</w:t>
      </w:r>
    </w:p>
    <w:p>
      <w:pPr>
        <w:pStyle w:val="13"/>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发包单位：</w:t>
      </w:r>
      <w:r>
        <w:rPr>
          <w:rFonts w:hint="eastAsia" w:ascii="仿宋_GB2312" w:hAnsi="黑体" w:eastAsia="仿宋_GB2312" w:cs="仿宋_GB2312"/>
          <w:b/>
          <w:sz w:val="28"/>
          <w:szCs w:val="28"/>
          <w:lang w:eastAsia="zh-CN"/>
        </w:rPr>
        <w:t>广西东博会国际会展</w:t>
      </w:r>
      <w:r>
        <w:rPr>
          <w:rFonts w:hint="eastAsia" w:ascii="仿宋_GB2312" w:hAnsi="黑体" w:eastAsia="仿宋_GB2312" w:cs="仿宋_GB2312"/>
          <w:b/>
          <w:sz w:val="28"/>
          <w:szCs w:val="28"/>
        </w:rPr>
        <w:t xml:space="preserve">有限公司 </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28</w:t>
      </w:r>
      <w:bookmarkStart w:id="8" w:name="_GoBack"/>
      <w:bookmarkEnd w:id="8"/>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方案设计</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w:t>
      </w:r>
      <w:r>
        <w:rPr>
          <w:rFonts w:hint="eastAsia" w:ascii="仿宋_GB2312" w:hAnsi="宋体" w:eastAsia="仿宋_GB2312"/>
          <w:color w:val="000000"/>
          <w:szCs w:val="21"/>
          <w:lang w:val="en-US" w:eastAsia="zh-CN"/>
        </w:rPr>
        <w:t xml:space="preserve"> </w:t>
      </w:r>
      <w:r>
        <w:rPr>
          <w:rFonts w:hint="eastAsia" w:ascii="仿宋_GB2312" w:hAnsi="宋体" w:eastAsia="仿宋_GB2312"/>
          <w:color w:val="000000"/>
          <w:szCs w:val="21"/>
        </w:rPr>
        <w:t xml:space="preserve"> ……………………………………………………………………………</w:t>
      </w:r>
      <w:r>
        <w:rPr>
          <w:rFonts w:hint="eastAsia" w:ascii="仿宋_GB2312" w:hAnsi="宋体" w:eastAsia="仿宋_GB2312"/>
          <w:color w:val="000000"/>
          <w:szCs w:val="21"/>
          <w:lang w:val="en-US" w:eastAsia="zh-CN"/>
        </w:rPr>
        <w:t>10</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14</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
        <w:rPr>
          <w:rFonts w:ascii="宋体" w:hAnsi="宋体"/>
          <w:b/>
          <w:color w:val="000000"/>
          <w:sz w:val="32"/>
          <w:szCs w:val="32"/>
        </w:rPr>
      </w:pPr>
    </w:p>
    <w:p/>
    <w:p/>
    <w:p>
      <w:pPr>
        <w:spacing w:line="400" w:lineRule="exact"/>
        <w:jc w:val="center"/>
        <w:rPr>
          <w:rFonts w:ascii="宋体" w:hAnsi="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广西东博会国际会展有限公司就</w:t>
      </w:r>
      <w:r>
        <w:rPr>
          <w:rFonts w:hint="eastAsia" w:ascii="仿宋_GB2312" w:hAnsi="宋体" w:eastAsia="仿宋_GB2312"/>
          <w:color w:val="000000"/>
          <w:sz w:val="28"/>
          <w:szCs w:val="28"/>
          <w:u w:val="single"/>
        </w:rPr>
        <w:t xml:space="preserve">  </w:t>
      </w:r>
      <w:r>
        <w:rPr>
          <w:rFonts w:hint="eastAsia" w:ascii="仿宋_GB2312" w:eastAsia="仿宋_GB2312" w:hAnsiTheme="minorEastAsia" w:cstheme="minorEastAsia"/>
          <w:sz w:val="28"/>
          <w:szCs w:val="28"/>
          <w:u w:val="single"/>
          <w:lang w:val="en-US" w:eastAsia="zh-CN"/>
        </w:rPr>
        <w:t>企业</w:t>
      </w:r>
      <w:r>
        <w:rPr>
          <w:rFonts w:hint="eastAsia" w:ascii="仿宋_GB2312" w:eastAsia="仿宋_GB2312" w:hAnsiTheme="minorEastAsia" w:cstheme="minorEastAsia"/>
          <w:sz w:val="28"/>
          <w:szCs w:val="28"/>
          <w:u w:val="single"/>
        </w:rPr>
        <w:t>文化宣传设计搭建项目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一、项目名称：</w:t>
      </w:r>
      <w:r>
        <w:rPr>
          <w:rFonts w:hint="eastAsia" w:ascii="仿宋_GB2312" w:eastAsia="仿宋_GB2312" w:hAnsiTheme="minorEastAsia" w:cstheme="minorEastAsia"/>
          <w:sz w:val="28"/>
          <w:szCs w:val="28"/>
        </w:rPr>
        <w:t>企业文化宣传设计搭建项目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sz w:val="28"/>
          <w:szCs w:val="28"/>
        </w:rPr>
      </w:pPr>
      <w:r>
        <w:rPr>
          <w:rFonts w:hint="eastAsia" w:ascii="仿宋_GB2312" w:hAnsi="宋体" w:eastAsia="仿宋_GB2312"/>
          <w:color w:val="000000"/>
          <w:sz w:val="28"/>
          <w:szCs w:val="28"/>
        </w:rPr>
        <w:t>二、竞标内容：</w:t>
      </w:r>
      <w:r>
        <w:rPr>
          <w:rFonts w:hint="eastAsia" w:ascii="仿宋_GB2312" w:eastAsia="仿宋_GB2312" w:hAnsiTheme="minorEastAsia" w:cstheme="minorEastAsia"/>
          <w:sz w:val="28"/>
          <w:szCs w:val="28"/>
        </w:rPr>
        <w:t>企业文化宣传设计搭建</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ascii="仿宋_GB2312" w:hAnsi="宋体" w:eastAsia="仿宋_GB2312"/>
          <w:sz w:val="28"/>
          <w:szCs w:val="28"/>
        </w:rPr>
      </w:pPr>
      <w:r>
        <w:rPr>
          <w:rFonts w:hint="eastAsia" w:ascii="仿宋_GB2312" w:hAnsi="宋体" w:eastAsia="仿宋_GB2312"/>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投标人应具有独立法人资格和独立签订合同的权利，应为中华人民共和国境内注册的企业法人；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经营范围必须涵盖所提供商品或服务的内容，且具有企业法人营业执照（须提供盖公章的复印件，原件备查）。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具有良好的银行资信和商业信誉，没有处于被责令停业，财产被接</w:t>
      </w:r>
      <w:r>
        <w:rPr>
          <w:rFonts w:hint="eastAsia" w:ascii="仿宋_GB2312" w:hAnsi="宋体" w:eastAsia="仿宋_GB2312"/>
          <w:sz w:val="28"/>
          <w:szCs w:val="28"/>
        </w:rPr>
        <w:t>管、冻结，破产状态；</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u w:val="none"/>
        </w:rPr>
      </w:pPr>
      <w:r>
        <w:rPr>
          <w:rFonts w:hint="eastAsia" w:ascii="仿宋_GB2312" w:hAnsi="宋体" w:eastAsia="仿宋_GB2312"/>
          <w:sz w:val="28"/>
          <w:szCs w:val="28"/>
          <w:u w:val="none"/>
        </w:rPr>
        <w:t>四、获取竞争性磋商文件时间及地点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ascii="仿宋_GB2312" w:hAnsi="宋体" w:eastAsia="仿宋_GB2312"/>
          <w:color w:val="FF0000"/>
          <w:sz w:val="28"/>
          <w:szCs w:val="28"/>
          <w:u w:val="single"/>
        </w:rPr>
      </w:pPr>
      <w:r>
        <w:rPr>
          <w:rFonts w:hint="eastAsia" w:ascii="仿宋_GB2312" w:hAnsi="宋体" w:eastAsia="仿宋_GB2312"/>
          <w:sz w:val="28"/>
          <w:szCs w:val="28"/>
          <w:u w:val="none"/>
        </w:rPr>
        <w:t>请于20</w:t>
      </w:r>
      <w:r>
        <w:rPr>
          <w:rFonts w:hint="eastAsia" w:ascii="仿宋_GB2312" w:hAnsi="宋体" w:eastAsia="仿宋_GB2312"/>
          <w:sz w:val="28"/>
          <w:szCs w:val="28"/>
          <w:u w:val="none"/>
          <w:lang w:val="en-US" w:eastAsia="zh-CN"/>
        </w:rPr>
        <w:t>22</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11</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28</w:t>
      </w:r>
      <w:r>
        <w:rPr>
          <w:rFonts w:hint="eastAsia" w:ascii="仿宋_GB2312" w:hAnsi="宋体" w:eastAsia="仿宋_GB2312"/>
          <w:sz w:val="28"/>
          <w:szCs w:val="28"/>
          <w:u w:val="none"/>
        </w:rPr>
        <w:t>日—</w:t>
      </w:r>
      <w:r>
        <w:rPr>
          <w:rFonts w:hint="eastAsia" w:ascii="仿宋_GB2312" w:hAnsi="宋体" w:eastAsia="仿宋_GB2312"/>
          <w:sz w:val="28"/>
          <w:szCs w:val="28"/>
          <w:u w:val="none"/>
          <w:lang w:val="en-US" w:eastAsia="zh-CN"/>
        </w:rPr>
        <w:t>2022</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11</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30</w:t>
      </w:r>
      <w:r>
        <w:rPr>
          <w:rFonts w:hint="eastAsia" w:ascii="仿宋_GB2312" w:hAnsi="宋体" w:eastAsia="仿宋_GB2312"/>
          <w:sz w:val="28"/>
          <w:szCs w:val="28"/>
          <w:u w:val="none"/>
        </w:rPr>
        <w:t>日到广西国际博览集团有限公司网站下载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五、磋商时间和地点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谈    间：20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 xml:space="preserve">年 </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日1</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:30</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点：广西东博会国际会展有限公司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六、联系方式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单位名称：广西东博会国际会展有限公司</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址：南宁市青秀区会展路18号会展大厦11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邮    编：532203</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李艳龙</w:t>
      </w:r>
      <w:r>
        <w:rPr>
          <w:rFonts w:hint="eastAsia" w:ascii="仿宋_GB2312" w:hAnsi="宋体" w:eastAsia="仿宋_GB2312"/>
          <w:color w:val="000000" w:themeColor="text1"/>
          <w:sz w:val="28"/>
          <w:szCs w:val="28"/>
          <w14:textFill>
            <w14:solidFill>
              <w14:schemeClr w14:val="tx1"/>
            </w14:solidFill>
          </w14:textFill>
        </w:rPr>
        <w:t>，0771-2212615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560" w:leftChars="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仿宋_GB2312" w:hAnsi="宋体" w:eastAsia="仿宋_GB2312"/>
          <w:color w:val="000000"/>
          <w:sz w:val="28"/>
          <w:szCs w:val="28"/>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广西东博会国际会展有限公司</w:t>
      </w: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b/>
          <w:bCs/>
          <w:color w:val="000000"/>
          <w:sz w:val="36"/>
          <w:szCs w:val="36"/>
        </w:rPr>
      </w:pPr>
      <w:r>
        <w:rPr>
          <w:rFonts w:hint="eastAsia" w:ascii="仿宋_GB2312" w:hAnsi="宋体" w:eastAsia="仿宋_GB2312"/>
          <w:color w:val="000000"/>
          <w:sz w:val="28"/>
          <w:szCs w:val="28"/>
        </w:rPr>
        <w:t xml:space="preserve">                               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28</w:t>
      </w:r>
      <w:r>
        <w:rPr>
          <w:rFonts w:hint="eastAsia" w:ascii="仿宋_GB2312" w:hAnsi="宋体" w:eastAsia="仿宋_GB2312"/>
          <w:color w:val="000000"/>
          <w:sz w:val="28"/>
          <w:szCs w:val="28"/>
        </w:rPr>
        <w:t>日</w:t>
      </w: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both"/>
        <w:rPr>
          <w:rFonts w:hint="eastAsia" w:ascii="仿宋_GB2312" w:hAnsi="仿宋_GB2312" w:eastAsia="仿宋_GB2312" w:cs="仿宋_GB2312"/>
          <w:b/>
          <w:bCs/>
          <w:color w:val="000000"/>
          <w:sz w:val="32"/>
          <w:szCs w:val="32"/>
        </w:rPr>
      </w:pPr>
    </w:p>
    <w:p>
      <w:pPr>
        <w:pStyle w:val="2"/>
        <w:rPr>
          <w:rFonts w:hint="eastAsia"/>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1"/>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01"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eastAsia="仿宋_GB2312" w:hAnsiTheme="minorEastAsia" w:cstheme="minorEastAsia"/>
                <w:sz w:val="24"/>
                <w:lang w:val="en-US" w:eastAsia="zh-CN"/>
              </w:rPr>
              <w:t>企业文化宣传设计搭建项目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lang w:eastAsia="zh-CN"/>
              </w:rPr>
            </w:pPr>
            <w:r>
              <w:rPr>
                <w:rFonts w:hint="eastAsia" w:eastAsia="仿宋_GB2312"/>
                <w:color w:val="auto"/>
                <w:szCs w:val="21"/>
                <w:lang w:val="en-US" w:eastAsia="zh-CN"/>
              </w:rPr>
              <w:t>25.5</w:t>
            </w:r>
            <w:r>
              <w:rPr>
                <w:rFonts w:hint="eastAsia" w:eastAsia="仿宋_GB2312"/>
                <w:color w:val="auto"/>
                <w:szCs w:val="21"/>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eastAsia="仿宋_GB2312" w:hAnsiTheme="minorEastAsia" w:cstheme="minorEastAsia"/>
                <w:sz w:val="24"/>
                <w:lang w:val="en-US" w:eastAsia="zh-CN"/>
              </w:rPr>
              <w:t>柳州市鱼峰区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w:t>
            </w:r>
            <w:r>
              <w:rPr>
                <w:rFonts w:hint="eastAsia" w:ascii="仿宋_GB2312" w:hAnsi="宋体" w:eastAsia="仿宋_GB2312"/>
                <w:color w:val="000000" w:themeColor="text1"/>
                <w:sz w:val="24"/>
                <w:lang w:val="en-US" w:eastAsia="zh-CN"/>
                <w14:textFill>
                  <w14:solidFill>
                    <w14:schemeClr w14:val="tx1"/>
                  </w14:solidFill>
                </w14:textFill>
              </w:rPr>
              <w:t>22</w:t>
            </w:r>
            <w:r>
              <w:rPr>
                <w:rFonts w:hint="eastAsia" w:ascii="仿宋_GB2312" w:hAnsi="宋体" w:eastAsia="仿宋_GB2312"/>
                <w:color w:val="000000" w:themeColor="text1"/>
                <w:sz w:val="24"/>
                <w14:textFill>
                  <w14:solidFill>
                    <w14:schemeClr w14:val="tx1"/>
                  </w14:solidFill>
                </w14:textFill>
              </w:rPr>
              <w:t>年</w:t>
            </w:r>
            <w:r>
              <w:rPr>
                <w:rFonts w:hint="eastAsia" w:ascii="仿宋_GB2312" w:hAnsi="宋体" w:eastAsia="仿宋_GB2312"/>
                <w:color w:val="000000" w:themeColor="text1"/>
                <w:sz w:val="24"/>
                <w:lang w:val="en-US" w:eastAsia="zh-CN"/>
                <w14:textFill>
                  <w14:solidFill>
                    <w14:schemeClr w14:val="tx1"/>
                  </w14:solidFill>
                </w14:textFill>
              </w:rPr>
              <w:t>12</w:t>
            </w:r>
            <w:r>
              <w:rPr>
                <w:rFonts w:hint="eastAsia" w:ascii="仿宋_GB2312" w:hAnsi="宋体" w:eastAsia="仿宋_GB2312"/>
                <w:color w:val="000000" w:themeColor="text1"/>
                <w:sz w:val="24"/>
                <w14:textFill>
                  <w14:solidFill>
                    <w14:schemeClr w14:val="tx1"/>
                  </w14:solidFill>
                </w14:textFill>
              </w:rPr>
              <w:t>月</w:t>
            </w:r>
            <w:r>
              <w:rPr>
                <w:rFonts w:hint="eastAsia" w:ascii="仿宋_GB2312" w:hAnsi="宋体" w:eastAsia="仿宋_GB2312"/>
                <w:color w:val="000000" w:themeColor="text1"/>
                <w:sz w:val="24"/>
                <w:lang w:val="en-US" w:eastAsia="zh-CN"/>
                <w14:textFill>
                  <w14:solidFill>
                    <w14:schemeClr w14:val="tx1"/>
                  </w14:solidFill>
                </w14:textFill>
              </w:rPr>
              <w:t>15</w:t>
            </w:r>
            <w:r>
              <w:rPr>
                <w:rFonts w:hint="eastAsia" w:ascii="仿宋_GB2312" w:hAnsi="宋体" w:eastAsia="仿宋_GB2312"/>
                <w:color w:val="000000" w:themeColor="text1"/>
                <w:sz w:val="24"/>
                <w14:textFill>
                  <w14:solidFill>
                    <w14:schemeClr w14:val="tx1"/>
                  </w14:solidFill>
                </w14:textFill>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24"/>
              </w:rPr>
            </w:pPr>
            <w:r>
              <w:rPr>
                <w:rFonts w:ascii="仿宋_GB2312" w:hAnsi="宋体" w:eastAsia="仿宋_GB2312"/>
                <w:color w:val="000000"/>
                <w:sz w:val="24"/>
              </w:rPr>
              <w:t>1、投标人应具有独立法人资格和独立签订合同的权利，应为中华人民共和国境内注册的企业法人；</w:t>
            </w:r>
            <w:r>
              <w:rPr>
                <w:rFonts w:ascii="仿宋_GB2312" w:hAnsi="宋体" w:eastAsia="仿宋_GB2312"/>
                <w:color w:val="000000"/>
                <w:sz w:val="24"/>
              </w:rPr>
              <w:br w:type="textWrapping"/>
            </w:r>
            <w:r>
              <w:rPr>
                <w:rFonts w:hint="eastAsia" w:ascii="仿宋_GB2312" w:hAnsi="宋体" w:eastAsia="仿宋_GB2312"/>
                <w:color w:val="000000"/>
                <w:sz w:val="24"/>
              </w:rPr>
              <w:t>2</w:t>
            </w:r>
            <w:r>
              <w:rPr>
                <w:rFonts w:ascii="仿宋_GB2312" w:hAnsi="宋体" w:eastAsia="仿宋_GB2312"/>
                <w:color w:val="000000"/>
                <w:sz w:val="24"/>
              </w:rPr>
              <w:t>、具有良好的银行资信和商业信誉，没有处于被责令停业，财产被接管、冻结，破产状态</w:t>
            </w:r>
            <w:r>
              <w:rPr>
                <w:rFonts w:hint="eastAsia" w:ascii="仿宋_GB2312" w:hAnsi="宋体" w:eastAsia="仿宋_GB2312"/>
                <w:color w:val="000000"/>
                <w:sz w:val="24"/>
              </w:rPr>
              <w:t>；</w:t>
            </w:r>
          </w:p>
          <w:p>
            <w:pPr>
              <w:rPr>
                <w:rFonts w:ascii="仿宋_GB2312" w:hAnsi="宋体" w:eastAsia="仿宋_GB2312"/>
                <w:color w:val="000000"/>
                <w:sz w:val="24"/>
              </w:rPr>
            </w:pPr>
            <w:r>
              <w:rPr>
                <w:rFonts w:hint="eastAsia" w:ascii="仿宋_GB2312" w:hAnsi="宋体" w:eastAsia="仿宋_GB2312"/>
                <w:color w:val="000000"/>
                <w:sz w:val="24"/>
              </w:rPr>
              <w:t>3、不接受联合体竞谈。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s="宋体"/>
                <w:kern w:val="0"/>
                <w:sz w:val="24"/>
                <w:lang w:eastAsia="zh-CN"/>
              </w:rPr>
              <w:t>设计搭建</w:t>
            </w:r>
            <w:r>
              <w:rPr>
                <w:rFonts w:hint="eastAsia" w:ascii="仿宋_GB2312" w:hAnsi="宋体" w:eastAsia="仿宋_GB2312" w:cs="宋体"/>
                <w:kern w:val="0"/>
                <w:sz w:val="24"/>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地点：广西东博会国际会展有限公司</w:t>
            </w:r>
          </w:p>
          <w:p>
            <w:pPr>
              <w:spacing w:line="32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 xml:space="preserve">      南宁市青秀区会展路18号会展大厦11</w:t>
            </w:r>
            <w:r>
              <w:rPr>
                <w:rFonts w:hint="eastAsia" w:ascii="仿宋_GB2312" w:hAnsi="宋体" w:eastAsia="仿宋_GB2312"/>
                <w:color w:val="000000"/>
                <w:sz w:val="24"/>
                <w:lang w:eastAsia="zh-CN"/>
              </w:rPr>
              <w:t>楼</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截止时间: 20</w:t>
            </w:r>
            <w:r>
              <w:rPr>
                <w:rFonts w:hint="eastAsia" w:ascii="仿宋_GB2312" w:hAnsi="宋体" w:eastAsia="仿宋_GB2312"/>
                <w:color w:val="000000"/>
                <w:sz w:val="24"/>
                <w:lang w:val="en-US" w:eastAsia="zh-CN"/>
              </w:rPr>
              <w:t>22</w:t>
            </w:r>
            <w:r>
              <w:rPr>
                <w:rFonts w:hint="eastAsia" w:ascii="仿宋_GB2312" w:hAnsi="宋体" w:eastAsia="仿宋_GB2312"/>
                <w:color w:val="000000"/>
                <w:sz w:val="24"/>
              </w:rPr>
              <w:t xml:space="preserve">年 </w:t>
            </w:r>
            <w:r>
              <w:rPr>
                <w:rFonts w:hint="eastAsia" w:ascii="仿宋_GB2312" w:hAnsi="宋体" w:eastAsia="仿宋_GB2312"/>
                <w:color w:val="000000"/>
                <w:sz w:val="24"/>
                <w:lang w:val="en-US" w:eastAsia="zh-CN"/>
              </w:rPr>
              <w:t>12</w:t>
            </w:r>
            <w:r>
              <w:rPr>
                <w:rFonts w:hint="eastAsia" w:ascii="仿宋_GB2312" w:hAnsi="宋体" w:eastAsia="仿宋_GB2312"/>
                <w:color w:val="000000"/>
                <w:sz w:val="24"/>
              </w:rPr>
              <w:t>月</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日</w:t>
            </w:r>
            <w:r>
              <w:rPr>
                <w:rFonts w:hint="eastAsia" w:ascii="仿宋_GB2312" w:hAnsi="宋体" w:eastAsia="仿宋_GB2312"/>
                <w:color w:val="000000"/>
                <w:sz w:val="24"/>
                <w:lang w:val="en-US" w:eastAsia="zh-CN"/>
              </w:rPr>
              <w:t>10：0</w:t>
            </w:r>
            <w:r>
              <w:rPr>
                <w:rFonts w:hint="eastAsia" w:ascii="仿宋_GB2312" w:hAnsi="宋体"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eastAsia="zh-CN"/>
              </w:rPr>
              <w:t>至少</w:t>
            </w:r>
            <w:r>
              <w:rPr>
                <w:rFonts w:hint="eastAsia" w:ascii="仿宋_GB2312" w:hAnsi="宋体" w:eastAsia="仿宋_GB2312"/>
                <w:color w:val="000000"/>
                <w:sz w:val="24"/>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pPr>
        <w:pStyle w:val="2"/>
        <w:rPr>
          <w:rFonts w:hint="eastAsia"/>
        </w:rPr>
      </w:pPr>
    </w:p>
    <w:p>
      <w:pPr>
        <w:spacing w:line="400" w:lineRule="exact"/>
        <w:rPr>
          <w:rFonts w:hint="eastAsia" w:ascii="仿宋_GB2312" w:hAnsi="宋体" w:eastAsia="仿宋_GB2312"/>
          <w:b/>
          <w:color w:val="000000"/>
          <w:sz w:val="24"/>
        </w:rPr>
      </w:pP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eastAsia="仿宋_GB2312" w:hAnsiTheme="minorEastAsia" w:cstheme="minorEastAsia"/>
          <w:sz w:val="24"/>
        </w:rPr>
        <w:t>企业文化宣传设计搭建项目</w:t>
      </w:r>
    </w:p>
    <w:p>
      <w:pPr>
        <w:snapToGrid w:val="0"/>
        <w:spacing w:line="360" w:lineRule="auto"/>
        <w:ind w:firstLine="480" w:firstLineChars="200"/>
        <w:jc w:val="left"/>
        <w:rPr>
          <w:rFonts w:hint="eastAsia" w:ascii="仿宋_GB2312" w:hAnsi="宋体" w:eastAsia="仿宋_GB2312"/>
          <w:color w:val="000000"/>
          <w:sz w:val="24"/>
          <w:lang w:eastAsia="zh-CN"/>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eastAsia="仿宋_GB2312" w:hAnsiTheme="minorEastAsia" w:cstheme="minorEastAsia"/>
          <w:sz w:val="24"/>
          <w:lang w:val="en-US" w:eastAsia="zh-CN"/>
        </w:rPr>
        <w:t>柳州市鱼峰区</w:t>
      </w:r>
    </w:p>
    <w:p>
      <w:pPr>
        <w:snapToGrid w:val="0"/>
        <w:spacing w:line="360" w:lineRule="auto"/>
        <w:ind w:firstLine="480" w:firstLineChars="200"/>
        <w:jc w:val="left"/>
        <w:rPr>
          <w:rFonts w:hint="eastAsia" w:ascii="仿宋_GB2312" w:hAnsi="宋体" w:eastAsia="仿宋_GB2312"/>
          <w:sz w:val="24"/>
          <w:lang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w:t>
      </w: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1年</w:t>
      </w:r>
    </w:p>
    <w:p>
      <w:pPr>
        <w:snapToGrid w:val="0"/>
        <w:spacing w:beforeLines="25" w:afterLines="25"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 xml:space="preserve">1.6 </w:t>
      </w:r>
      <w:r>
        <w:rPr>
          <w:rFonts w:hint="eastAsia" w:ascii="仿宋_GB2312" w:hAnsi="宋体" w:eastAsia="仿宋_GB2312" w:cs="宋体"/>
          <w:kern w:val="0"/>
          <w:sz w:val="24"/>
          <w:lang w:eastAsia="zh-CN"/>
        </w:rPr>
        <w:t>设计</w:t>
      </w:r>
      <w:r>
        <w:rPr>
          <w:rFonts w:hint="eastAsia" w:ascii="仿宋_GB2312" w:hAnsi="宋体" w:eastAsia="仿宋_GB2312" w:cs="宋体"/>
          <w:kern w:val="0"/>
          <w:sz w:val="24"/>
          <w:lang w:val="en-US" w:eastAsia="zh-CN"/>
        </w:rPr>
        <w:t>布置搭建完成期限</w:t>
      </w:r>
      <w:r>
        <w:rPr>
          <w:rFonts w:hint="eastAsia" w:ascii="仿宋_GB2312" w:hAnsi="宋体" w:eastAsia="仿宋_GB2312" w:cs="宋体"/>
          <w:kern w:val="0"/>
          <w:sz w:val="24"/>
        </w:rPr>
        <w:t>：2</w:t>
      </w:r>
      <w:r>
        <w:rPr>
          <w:rFonts w:hint="eastAsia" w:ascii="仿宋_GB2312" w:hAnsi="宋体" w:eastAsia="仿宋_GB2312" w:cs="宋体"/>
          <w:kern w:val="0"/>
          <w:sz w:val="24"/>
          <w:lang w:val="en-US" w:eastAsia="zh-CN"/>
        </w:rPr>
        <w:t>022</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12</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15</w:t>
      </w:r>
      <w:r>
        <w:rPr>
          <w:rFonts w:hint="eastAsia" w:ascii="仿宋_GB2312" w:hAnsi="宋体" w:eastAsia="仿宋_GB2312" w:cs="宋体"/>
          <w:kern w:val="0"/>
          <w:sz w:val="24"/>
        </w:rPr>
        <w:t>日17:30前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竞争性磋商响应文件应分为商务文件和技术文件两个部分组成</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请按照以下要求提供，未按照要求提供的、或未提供完整资料的，投标视为无效</w:t>
      </w:r>
      <w:r>
        <w:rPr>
          <w:rFonts w:hint="eastAsia" w:ascii="仿宋_GB2312" w:hAnsi="宋体" w:eastAsia="仿宋_GB2312"/>
          <w:color w:val="000000"/>
          <w:sz w:val="24"/>
        </w:rPr>
        <w:t>。</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2.6.1商务文件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000000"/>
          <w:sz w:val="24"/>
        </w:rPr>
        <w:t>磋商报价</w:t>
      </w:r>
      <w:r>
        <w:rPr>
          <w:rFonts w:hint="eastAsia" w:ascii="仿宋_GB2312" w:hAnsi="宋体" w:eastAsia="仿宋_GB2312"/>
          <w:color w:val="000000"/>
          <w:sz w:val="24"/>
          <w:lang w:eastAsia="zh-CN"/>
        </w:rPr>
        <w:t>细项</w:t>
      </w:r>
      <w:r>
        <w:rPr>
          <w:rFonts w:hint="eastAsia" w:ascii="仿宋_GB2312" w:hAnsi="宋体" w:eastAsia="仿宋_GB2312"/>
          <w:color w:val="000000"/>
          <w:sz w:val="24"/>
        </w:rPr>
        <w:t>表；（附件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）营业执照</w:t>
      </w:r>
      <w:r>
        <w:rPr>
          <w:rFonts w:hint="eastAsia"/>
          <w:lang w:val="en-US" w:eastAsia="zh-CN"/>
        </w:rPr>
        <w:t>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）企业</w:t>
      </w:r>
      <w:r>
        <w:rPr>
          <w:rFonts w:hint="eastAsia" w:ascii="仿宋_GB2312" w:hAnsi="Arial" w:eastAsia="仿宋_GB2312" w:cs="Arial"/>
          <w:color w:val="000000"/>
          <w:sz w:val="24"/>
        </w:rPr>
        <w:t>资质证书复印件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）法定代表人</w:t>
      </w:r>
      <w:r>
        <w:rPr>
          <w:rFonts w:hint="eastAsia" w:ascii="仿宋_GB2312" w:hAnsi="宋体" w:eastAsia="仿宋_GB2312"/>
          <w:color w:val="000000"/>
          <w:sz w:val="24"/>
          <w:lang w:eastAsia="zh-CN"/>
        </w:rPr>
        <w:t>身份证复印件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p>
    <w:p>
      <w:pPr>
        <w:pStyle w:val="2"/>
        <w:rPr>
          <w:rFonts w:hint="eastAsia"/>
        </w:rPr>
      </w:pPr>
    </w:p>
    <w:p>
      <w:pPr>
        <w:spacing w:line="400" w:lineRule="exact"/>
        <w:ind w:left="840" w:hanging="84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）廉洁承诺书；（附件</w:t>
      </w:r>
      <w:r>
        <w:rPr>
          <w:rFonts w:hint="eastAsia" w:ascii="仿宋_GB2312" w:hAnsi="宋体" w:eastAsia="仿宋_GB2312"/>
          <w:color w:val="000000"/>
          <w:sz w:val="24"/>
          <w:lang w:eastAsia="zh-CN"/>
        </w:rPr>
        <w:t>五</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w:t>
      </w:r>
      <w:r>
        <w:rPr>
          <w:rFonts w:hint="eastAsia" w:ascii="仿宋_GB2312" w:hAnsi="宋体" w:eastAsia="仿宋_GB2312"/>
          <w:color w:val="000000"/>
          <w:sz w:val="24"/>
          <w:lang w:eastAsia="zh-CN"/>
        </w:rPr>
        <w:t>执行方案、</w:t>
      </w:r>
      <w:r>
        <w:rPr>
          <w:rFonts w:hint="eastAsia" w:eastAsia="仿宋_GB2312"/>
          <w:sz w:val="24"/>
        </w:rPr>
        <w:t>设计方案文字稿及设计效果图</w:t>
      </w:r>
      <w:r>
        <w:rPr>
          <w:rFonts w:hint="eastAsia" w:ascii="仿宋_GB2312" w:hAnsi="宋体" w:eastAsia="仿宋_GB2312"/>
          <w:color w:val="000000"/>
          <w:sz w:val="24"/>
        </w:rPr>
        <w:t>。</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2.7</w:t>
      </w:r>
      <w:r>
        <w:rPr>
          <w:rFonts w:hint="eastAsia" w:ascii="仿宋_GB2312" w:hAnsi="宋体" w:eastAsia="仿宋_GB2312"/>
          <w:color w:val="000000"/>
          <w:sz w:val="24"/>
        </w:rPr>
        <w:t xml:space="preserve"> 计量单位</w:t>
      </w:r>
    </w:p>
    <w:p>
      <w:pPr>
        <w:spacing w:line="400" w:lineRule="exact"/>
        <w:ind w:left="426" w:leftChars="203" w:firstLine="0" w:firstLineChars="0"/>
        <w:rPr>
          <w:rFonts w:ascii="仿宋_GB2312" w:hAnsi="宋体" w:eastAsia="仿宋_GB2312"/>
          <w:color w:val="000000"/>
          <w:sz w:val="24"/>
        </w:rPr>
      </w:pPr>
      <w:r>
        <w:rPr>
          <w:rFonts w:hint="eastAsia" w:ascii="仿宋_GB2312" w:hAnsi="宋体" w:eastAsia="仿宋_GB2312"/>
          <w:color w:val="000000"/>
          <w:sz w:val="24"/>
        </w:rPr>
        <w:t>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hint="eastAsia" w:ascii="仿宋_GB2312" w:hAnsi="宋体" w:eastAsia="仿宋_GB2312"/>
          <w:color w:val="000000"/>
          <w:sz w:val="24"/>
        </w:rPr>
      </w:pPr>
      <w:r>
        <w:rPr>
          <w:rFonts w:hint="eastAsia" w:ascii="仿宋_GB2312" w:hAnsi="宋体" w:eastAsia="仿宋_GB2312"/>
          <w:color w:val="000000"/>
          <w:sz w:val="24"/>
          <w:lang w:val="en-US" w:eastAsia="zh-CN"/>
        </w:rPr>
        <w:t>3.1</w:t>
      </w:r>
      <w:r>
        <w:rPr>
          <w:rFonts w:hint="eastAsia" w:ascii="仿宋_GB2312" w:hAnsi="宋体" w:eastAsia="仿宋_GB2312"/>
          <w:color w:val="000000"/>
          <w:sz w:val="24"/>
        </w:rPr>
        <w:t xml:space="preserve"> 承包方报价须按照本文件所列的</w:t>
      </w:r>
      <w:r>
        <w:rPr>
          <w:rFonts w:hint="eastAsia" w:ascii="仿宋_GB2312" w:hAnsi="宋体" w:eastAsia="仿宋_GB2312"/>
          <w:color w:val="000000"/>
          <w:sz w:val="24"/>
          <w:lang w:val="en-US" w:eastAsia="zh-CN"/>
        </w:rPr>
        <w:t>工作</w:t>
      </w:r>
      <w:r>
        <w:rPr>
          <w:rFonts w:hint="eastAsia" w:ascii="仿宋_GB2312" w:hAnsi="宋体" w:eastAsia="仿宋_GB2312"/>
          <w:color w:val="000000"/>
          <w:sz w:val="24"/>
        </w:rPr>
        <w:t>量清单</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详见附件三</w:t>
      </w:r>
      <w:r>
        <w:rPr>
          <w:rFonts w:hint="eastAsia" w:ascii="仿宋_GB2312" w:hAnsi="宋体" w:eastAsia="仿宋_GB2312"/>
          <w:color w:val="000000"/>
          <w:sz w:val="24"/>
          <w:lang w:eastAsia="zh-CN"/>
        </w:rPr>
        <w:t>）</w:t>
      </w:r>
      <w:r>
        <w:rPr>
          <w:rFonts w:hint="eastAsia" w:ascii="仿宋_GB2312" w:hAnsi="宋体" w:eastAsia="仿宋_GB2312"/>
          <w:color w:val="000000"/>
          <w:sz w:val="24"/>
        </w:rPr>
        <w:t xml:space="preserve">，本文件未列明的清单项，承包方可根据踏勘现场实际情况列入报价清单，如结算时未发生的将不予以计算。 </w:t>
      </w:r>
    </w:p>
    <w:p>
      <w:pPr>
        <w:pStyle w:val="2"/>
        <w:ind w:left="0" w:leftChars="0" w:firstLine="0" w:firstLineChars="0"/>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3.2 项目总报价为含税价，包含本项目所有费用。总报价应与明细报价之和一致，不一致的视为投标无效。大小写金额不一致的，以大写金额为准。</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 磋商响应文件的份数和封装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.1磋商供应商应将竞争性磋商响应文件递交</w:t>
      </w:r>
      <w:r>
        <w:rPr>
          <w:rFonts w:hint="eastAsia" w:ascii="仿宋_GB2312" w:hAnsi="宋体" w:eastAsia="仿宋_GB2312"/>
          <w:color w:val="000000"/>
          <w:sz w:val="24"/>
          <w:u w:val="single"/>
        </w:rPr>
        <w:t>广西东博会国际会展有限公司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.2竞争性磋商响应文件的信封上应写明：</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 xml:space="preserve"> 竞争性磋商响应文件的递交</w:t>
      </w:r>
    </w:p>
    <w:p>
      <w:pPr>
        <w:spacing w:line="400" w:lineRule="exact"/>
        <w:ind w:left="420" w:hanging="420"/>
        <w:rPr>
          <w:rFonts w:hint="eastAsia" w:ascii="仿宋_GB2312" w:hAnsi="宋体" w:eastAsia="仿宋_GB2312"/>
          <w:color w:val="000000"/>
          <w:sz w:val="24"/>
          <w:u w:val="single"/>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所有竞争性磋商响应文件应于“第一章 磋商邀请函”中规定的时间递交</w:t>
      </w:r>
      <w:r>
        <w:rPr>
          <w:rFonts w:hint="eastAsia" w:ascii="仿宋_GB2312" w:hAnsi="宋体" w:eastAsia="仿宋_GB2312"/>
          <w:color w:val="000000"/>
          <w:sz w:val="24"/>
          <w:u w:val="single"/>
        </w:rPr>
        <w:t>广西东博会国际会展有限公司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.1 开标</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发包人按第一章“竞争性磋商邀请书”中约定的磋商时间及地点组织参与磋商的承包商召开开标会议，对本次磋商事项进行简要说明，并当众拆封磋商响应文件，审查供应商的相关资质。</w:t>
      </w:r>
    </w:p>
    <w:p>
      <w:pPr>
        <w:spacing w:line="400" w:lineRule="exact"/>
        <w:ind w:left="420" w:hanging="420"/>
        <w:jc w:val="left"/>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发包人成立磋商小组，按承包商的签到顺序与单一承包商分别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eastAsia="仿宋_GB2312" w:hAnsiTheme="minorEastAsia" w:cstheme="minorEastAsia"/>
          <w:sz w:val="24"/>
          <w:u w:val="single"/>
        </w:rPr>
        <w:t>企业文化宣传设计搭建项目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发包人对磋商过程和重要磋商内容进行记录。</w:t>
      </w:r>
    </w:p>
    <w:p>
      <w:pPr>
        <w:spacing w:line="400" w:lineRule="exact"/>
        <w:jc w:val="left"/>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磋商结束后，承包商根据磋商情况当场给出最终报价，磋商双方在磋商结果上签字确认。</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.1 发包人磋商小组根据</w:t>
      </w:r>
      <w:r>
        <w:rPr>
          <w:rFonts w:hint="eastAsia" w:ascii="仿宋_GB2312" w:hAnsi="宋体" w:eastAsia="仿宋_GB2312"/>
          <w:color w:val="000000"/>
          <w:sz w:val="24"/>
          <w:lang w:val="en-US" w:eastAsia="zh-CN"/>
        </w:rPr>
        <w:t>各承包商做出的最终报价，按照</w:t>
      </w:r>
      <w:r>
        <w:rPr>
          <w:rFonts w:hint="eastAsia" w:ascii="仿宋_GB2312" w:eastAsia="仿宋_GB2312" w:hAnsiTheme="minorEastAsia" w:cstheme="minorEastAsia"/>
          <w:sz w:val="24"/>
          <w:u w:val="single"/>
          <w:lang w:val="en-US" w:eastAsia="zh-CN"/>
        </w:rPr>
        <w:t>本采购文件确定的</w:t>
      </w:r>
      <w:r>
        <w:rPr>
          <w:rFonts w:hint="eastAsia" w:ascii="仿宋_GB2312" w:hAnsi="宋体" w:eastAsia="仿宋_GB2312"/>
          <w:color w:val="000000"/>
          <w:sz w:val="24"/>
        </w:rPr>
        <w:t>综合评分法</w:t>
      </w:r>
      <w:r>
        <w:rPr>
          <w:rFonts w:hint="eastAsia" w:ascii="仿宋_GB2312" w:hAnsi="宋体" w:eastAsia="仿宋_GB2312"/>
          <w:color w:val="000000"/>
          <w:sz w:val="24"/>
          <w:lang w:val="en-US" w:eastAsia="zh-CN"/>
        </w:rPr>
        <w:t>进行综合评分，推荐得分最高者为</w:t>
      </w:r>
      <w:r>
        <w:rPr>
          <w:rFonts w:hint="eastAsia" w:ascii="仿宋_GB2312" w:hAnsi="宋体" w:eastAsia="仿宋_GB2312"/>
          <w:color w:val="000000"/>
          <w:sz w:val="24"/>
        </w:rPr>
        <w:t>确定成交承包商，并将评标结果按发包人的审批流程报批。</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.2发包人在评标结果批复后向参与磋商的承包商发送评标结果告知函。</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
        <w:rPr>
          <w:rFonts w:ascii="宋体" w:hAnsi="宋体"/>
          <w:b/>
          <w:color w:val="000000"/>
          <w:sz w:val="32"/>
          <w:szCs w:val="32"/>
        </w:rPr>
      </w:pPr>
    </w:p>
    <w:p>
      <w:pPr>
        <w:rPr>
          <w:rFonts w:ascii="宋体" w:hAnsi="宋体"/>
          <w:b/>
          <w:color w:val="000000"/>
          <w:sz w:val="32"/>
          <w:szCs w:val="32"/>
        </w:rPr>
      </w:pPr>
    </w:p>
    <w:p>
      <w:pPr>
        <w:pStyle w:val="2"/>
        <w:rPr>
          <w:rFonts w:ascii="宋体" w:hAnsi="宋体"/>
          <w:b/>
          <w:color w:val="000000"/>
          <w:sz w:val="32"/>
          <w:szCs w:val="32"/>
        </w:rPr>
      </w:pPr>
    </w:p>
    <w:p>
      <w:pPr>
        <w:rPr>
          <w:rFonts w:ascii="宋体" w:hAnsi="宋体"/>
          <w:b/>
          <w:color w:val="000000"/>
          <w:sz w:val="32"/>
          <w:szCs w:val="32"/>
        </w:rPr>
      </w:pPr>
    </w:p>
    <w:p>
      <w:pPr>
        <w:pStyle w:val="2"/>
      </w:pPr>
    </w:p>
    <w:p/>
    <w:p>
      <w:pPr>
        <w:spacing w:line="300" w:lineRule="auto"/>
        <w:jc w:val="both"/>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eastAsia="zh-CN"/>
        </w:rPr>
        <w:t>方案设计及</w:t>
      </w:r>
      <w:r>
        <w:rPr>
          <w:rFonts w:hint="eastAsia" w:ascii="仿宋_GB2312" w:hAnsi="宋体" w:eastAsia="仿宋_GB2312"/>
          <w:b/>
          <w:color w:val="000000"/>
          <w:sz w:val="32"/>
          <w:szCs w:val="32"/>
        </w:rPr>
        <w:t>要求</w:t>
      </w:r>
    </w:p>
    <w:p>
      <w:pPr>
        <w:numPr>
          <w:ilvl w:val="0"/>
          <w:numId w:val="0"/>
        </w:numPr>
        <w:tabs>
          <w:tab w:val="left" w:pos="180"/>
          <w:tab w:val="left" w:pos="1620"/>
        </w:tabs>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lang w:eastAsia="zh-CN"/>
        </w:rPr>
        <w:t>一、项目要求：</w:t>
      </w:r>
    </w:p>
    <w:p>
      <w:pPr>
        <w:tabs>
          <w:tab w:val="left" w:pos="180"/>
          <w:tab w:val="left" w:pos="1620"/>
        </w:tabs>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根据我公司的相关工作安排，对</w:t>
      </w:r>
      <w:r>
        <w:rPr>
          <w:rFonts w:hint="eastAsia" w:ascii="仿宋_GB2312" w:hAnsi="仿宋" w:eastAsia="仿宋_GB2312"/>
          <w:sz w:val="24"/>
          <w:lang w:val="en-US" w:eastAsia="zh-CN"/>
        </w:rPr>
        <w:t>宣传栏设计</w:t>
      </w:r>
      <w:r>
        <w:rPr>
          <w:rFonts w:hint="eastAsia" w:ascii="仿宋_GB2312" w:hAnsi="仿宋" w:eastAsia="仿宋_GB2312"/>
          <w:sz w:val="24"/>
          <w:lang w:eastAsia="zh-CN"/>
        </w:rPr>
        <w:t>服务，主要包括整体展现形式的设计和内容制作、氛围的营造，具体如下：</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1.整体设计美观大方、符合VI标识规范。</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 w:eastAsia="仿宋_GB2312"/>
          <w:b w:val="0"/>
          <w:bCs w:val="0"/>
          <w:color w:val="000000"/>
          <w:sz w:val="24"/>
          <w:lang w:val="en-US" w:eastAsia="zh-CN"/>
        </w:rPr>
        <w:t>供应商</w:t>
      </w:r>
      <w:r>
        <w:rPr>
          <w:rFonts w:hint="eastAsia" w:ascii="仿宋_GB2312" w:hAnsi="仿宋_GB2312" w:eastAsia="仿宋_GB2312" w:cs="仿宋_GB2312"/>
          <w:sz w:val="24"/>
          <w:szCs w:val="24"/>
        </w:rPr>
        <w:t>负责场地搭建等相关服务和执行工作</w:t>
      </w:r>
      <w:r>
        <w:rPr>
          <w:rFonts w:hint="eastAsia" w:ascii="仿宋_GB2312" w:hAnsi="仿宋_GB2312" w:eastAsia="仿宋_GB2312" w:cs="仿宋_GB2312"/>
          <w:sz w:val="24"/>
          <w:szCs w:val="24"/>
          <w:lang w:eastAsia="zh-CN"/>
        </w:rPr>
        <w:t>。</w:t>
      </w:r>
    </w:p>
    <w:p>
      <w:pPr>
        <w:tabs>
          <w:tab w:val="left" w:pos="180"/>
          <w:tab w:val="left" w:pos="1620"/>
        </w:tabs>
        <w:spacing w:line="360" w:lineRule="auto"/>
        <w:ind w:firstLine="480" w:firstLineChars="200"/>
        <w:rPr>
          <w:rFonts w:hint="default"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3.供应商参加磋商时请带上设计方案、效果图和施工方案。</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材料应绿色、环保、安全，有一定的档次，质感良好。施工材料符合消防要求，防火性能良好，结构安全稳固，保障施工及</w:t>
      </w:r>
      <w:r>
        <w:rPr>
          <w:rFonts w:hint="eastAsia" w:ascii="仿宋_GB2312" w:hAnsi="仿宋" w:eastAsia="仿宋_GB2312"/>
          <w:color w:val="000000"/>
          <w:sz w:val="24"/>
          <w:lang w:eastAsia="zh-CN"/>
        </w:rPr>
        <w:t>日常使用</w:t>
      </w:r>
      <w:r>
        <w:rPr>
          <w:rFonts w:hint="eastAsia" w:ascii="仿宋_GB2312" w:hAnsi="仿宋" w:eastAsia="仿宋_GB2312"/>
          <w:color w:val="000000"/>
          <w:sz w:val="24"/>
        </w:rPr>
        <w:t>过程中的人身安全。</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eastAsia="zh-CN"/>
        </w:rPr>
        <w:t>二</w:t>
      </w:r>
      <w:r>
        <w:rPr>
          <w:rFonts w:hint="eastAsia" w:ascii="仿宋_GB2312" w:hAnsi="仿宋" w:eastAsia="仿宋_GB2312"/>
          <w:color w:val="000000"/>
          <w:sz w:val="24"/>
        </w:rPr>
        <w:t>、其他要求：</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（1）本项目是采用包工包料的形式发包，设计搭建布展所涉及的所有费用均由成交方承担；</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2</w:t>
      </w:r>
      <w:r>
        <w:rPr>
          <w:rFonts w:hint="eastAsia" w:ascii="仿宋_GB2312" w:hAnsi="仿宋" w:eastAsia="仿宋_GB2312"/>
          <w:color w:val="000000"/>
          <w:sz w:val="24"/>
        </w:rPr>
        <w:t>）在成交后至正式搭建之前，如采购单位要求对布局方案进行修改或调整，成交方必须积极配合执行；</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3</w:t>
      </w: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项目具体情况可联系磋商联系人咨询了解</w:t>
      </w:r>
      <w:r>
        <w:rPr>
          <w:rFonts w:hint="eastAsia" w:ascii="仿宋_GB2312" w:hAnsi="仿宋" w:eastAsia="仿宋_GB2312"/>
          <w:color w:val="000000"/>
          <w:sz w:val="24"/>
        </w:rPr>
        <w:t>；</w:t>
      </w:r>
    </w:p>
    <w:p>
      <w:pPr>
        <w:tabs>
          <w:tab w:val="left" w:pos="180"/>
          <w:tab w:val="left" w:pos="1620"/>
        </w:tabs>
        <w:spacing w:line="360" w:lineRule="auto"/>
        <w:ind w:firstLine="480" w:firstLineChars="200"/>
        <w:rPr>
          <w:rFonts w:hint="eastAsia" w:ascii="仿宋_GB2312" w:hAnsi="仿宋" w:eastAsia="仿宋_GB2312"/>
          <w:color w:val="000000"/>
          <w:sz w:val="24"/>
          <w:lang w:eastAsia="zh-CN"/>
        </w:rPr>
      </w:pP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4</w:t>
      </w:r>
      <w:r>
        <w:rPr>
          <w:rFonts w:hint="eastAsia" w:ascii="仿宋_GB2312" w:hAnsi="仿宋" w:eastAsia="仿宋_GB2312"/>
          <w:color w:val="000000"/>
          <w:sz w:val="24"/>
          <w:lang w:eastAsia="zh-CN"/>
        </w:rPr>
        <w:t>）完工期限：</w:t>
      </w:r>
      <w:r>
        <w:rPr>
          <w:rFonts w:hint="eastAsia" w:ascii="仿宋_GB2312" w:hAnsi="仿宋" w:eastAsia="仿宋_GB2312"/>
          <w:color w:val="000000"/>
          <w:sz w:val="24"/>
        </w:rPr>
        <w:t>2022年</w:t>
      </w:r>
      <w:r>
        <w:rPr>
          <w:rFonts w:hint="eastAsia" w:ascii="仿宋_GB2312" w:hAnsi="仿宋" w:eastAsia="仿宋_GB2312"/>
          <w:color w:val="000000"/>
          <w:sz w:val="24"/>
          <w:lang w:val="en-US" w:eastAsia="zh-CN"/>
        </w:rPr>
        <w:t>12</w:t>
      </w:r>
      <w:r>
        <w:rPr>
          <w:rFonts w:hint="eastAsia" w:ascii="仿宋_GB2312" w:hAnsi="仿宋" w:eastAsia="仿宋_GB2312"/>
          <w:color w:val="000000"/>
          <w:sz w:val="24"/>
        </w:rPr>
        <w:t>月1</w:t>
      </w:r>
      <w:r>
        <w:rPr>
          <w:rFonts w:hint="eastAsia" w:ascii="仿宋_GB2312" w:hAnsi="仿宋" w:eastAsia="仿宋_GB2312"/>
          <w:color w:val="000000"/>
          <w:sz w:val="24"/>
          <w:lang w:val="en-US" w:eastAsia="zh-CN"/>
        </w:rPr>
        <w:t>5</w:t>
      </w:r>
      <w:r>
        <w:rPr>
          <w:rFonts w:hint="eastAsia" w:ascii="仿宋_GB2312" w:hAnsi="仿宋" w:eastAsia="仿宋_GB2312"/>
          <w:color w:val="000000"/>
          <w:sz w:val="24"/>
        </w:rPr>
        <w:t>日17:30前</w:t>
      </w: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仿宋" w:eastAsia="仿宋_GB2312"/>
          <w:color w:val="000000"/>
          <w:sz w:val="24"/>
          <w:lang w:eastAsia="zh-CN"/>
        </w:rPr>
        <w:t>三</w:t>
      </w:r>
      <w:r>
        <w:rPr>
          <w:rFonts w:hint="eastAsia" w:ascii="仿宋_GB2312" w:hAnsi="仿宋" w:eastAsia="仿宋_GB2312"/>
          <w:color w:val="000000"/>
          <w:sz w:val="24"/>
        </w:rPr>
        <w:t>、宣传栏设计项目评标计分表：</w:t>
      </w:r>
    </w:p>
    <w:tbl>
      <w:tblPr>
        <w:tblStyle w:val="24"/>
        <w:tblpPr w:leftFromText="180" w:rightFromText="180" w:vertAnchor="text" w:horzAnchor="margin" w:tblpY="582"/>
        <w:tblW w:w="8715" w:type="dxa"/>
        <w:tblInd w:w="0" w:type="dxa"/>
        <w:tblLayout w:type="fixed"/>
        <w:tblCellMar>
          <w:top w:w="0" w:type="dxa"/>
          <w:left w:w="0" w:type="dxa"/>
          <w:bottom w:w="0" w:type="dxa"/>
          <w:right w:w="0" w:type="dxa"/>
        </w:tblCellMar>
      </w:tblPr>
      <w:tblGrid>
        <w:gridCol w:w="601"/>
        <w:gridCol w:w="846"/>
        <w:gridCol w:w="1274"/>
        <w:gridCol w:w="138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120"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385" w:type="dxa"/>
            <w:tcBorders>
              <w:top w:val="single" w:color="auto" w:sz="4" w:space="0"/>
              <w:left w:val="single" w:color="auto" w:sz="4" w:space="0"/>
              <w:right w:val="single" w:color="auto" w:sz="4" w:space="0"/>
            </w:tcBorders>
            <w:shd w:val="clear" w:color="auto" w:fill="auto"/>
            <w:vAlign w:val="center"/>
          </w:tcPr>
          <w:p>
            <w:pPr>
              <w:ind w:firstLine="240" w:firstLineChars="100"/>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r>
              <w:rPr>
                <w:rFonts w:hint="eastAsia" w:ascii="仿宋_GB2312" w:eastAsia="仿宋_GB2312"/>
                <w:sz w:val="24"/>
              </w:rPr>
              <w:t>价格分的计算：以不含税价为计分依据，某投标人得分=最低投标报价/某投标报价*60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bottom w:val="single" w:color="auto" w:sz="4" w:space="0"/>
              <w:right w:val="nil"/>
            </w:tcBorders>
            <w:shd w:val="clear" w:color="auto" w:fill="auto"/>
          </w:tcPr>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技术分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1.基本符合品牌标识更换的设计标准要求（1-6分）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2.响应速度高、设计方案提供及时（6-10分）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3.满足1.2条款，材料使用符合质量、安全要求，搭配合理（11-15分）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4.满足1.2.3条款，设计效果立意新颖，整体设计元素贴合公司品牌特点，色彩结合得当，体现公司文化。（16-20分）</w:t>
            </w:r>
          </w:p>
        </w:tc>
      </w:tr>
      <w:tr>
        <w:tblPrEx>
          <w:tblCellMar>
            <w:top w:w="0" w:type="dxa"/>
            <w:left w:w="0" w:type="dxa"/>
            <w:bottom w:w="0" w:type="dxa"/>
            <w:right w:w="0" w:type="dxa"/>
          </w:tblCellMar>
        </w:tblPrEx>
        <w:trPr>
          <w:trHeight w:val="1610"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施工、安全措施完整、可行得3-5分；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施工、安全措施较完整、可行得2-3分；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施工、安全措施一般得0-2分；</w:t>
            </w:r>
          </w:p>
        </w:tc>
      </w:tr>
      <w:tr>
        <w:tblPrEx>
          <w:tblCellMar>
            <w:top w:w="0" w:type="dxa"/>
            <w:left w:w="0" w:type="dxa"/>
            <w:bottom w:w="0" w:type="dxa"/>
            <w:right w:w="0" w:type="dxa"/>
          </w:tblCellMar>
        </w:tblPrEx>
        <w:trPr>
          <w:trHeight w:val="1497"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施工、安全措施完整、可行，配合度良好得3-5分；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施工、安全措施较完整、可行，配合度较好得2-3分；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施工、安全措施一般，配合度一般得0-2分；</w:t>
            </w:r>
          </w:p>
        </w:tc>
      </w:tr>
      <w:tr>
        <w:tblPrEx>
          <w:tblCellMar>
            <w:top w:w="0" w:type="dxa"/>
            <w:left w:w="0" w:type="dxa"/>
            <w:bottom w:w="0" w:type="dxa"/>
            <w:right w:w="0" w:type="dxa"/>
          </w:tblCellMar>
        </w:tblPrEx>
        <w:trPr>
          <w:trHeight w:val="1468"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1385"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宋体" w:cs="仿宋_GB2312"/>
                <w:sz w:val="24"/>
                <w:szCs w:val="22"/>
                <w:lang w:eastAsia="zh-CN"/>
              </w:rPr>
            </w:pPr>
            <w:r>
              <w:rPr>
                <w:rFonts w:hint="eastAsia" w:ascii="仿宋_GB2312" w:hAnsi="仿宋_GB2312" w:eastAsia="仿宋_GB2312" w:cs="仿宋_GB2312"/>
                <w:sz w:val="24"/>
                <w:szCs w:val="22"/>
                <w:lang w:val="en-US" w:eastAsia="zh-CN"/>
              </w:rPr>
              <w:t>6</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rPr>
              <w:t>提供类似服务的业绩（主要用户、中标通知书复印件、供货合同等）</w:t>
            </w:r>
            <w:r>
              <w:rPr>
                <w:rFonts w:hint="eastAsia" w:ascii="仿宋_GB2312" w:hAnsi="仿宋_GB2312" w:eastAsia="仿宋_GB2312" w:cs="仿宋_GB2312"/>
                <w:sz w:val="24"/>
                <w:lang w:eastAsia="zh-CN"/>
              </w:rPr>
              <w:t>，提供一份业绩得</w:t>
            </w:r>
            <w:r>
              <w:rPr>
                <w:rFonts w:hint="eastAsia" w:ascii="仿宋_GB2312" w:hAnsi="仿宋_GB2312" w:eastAsia="仿宋_GB2312" w:cs="仿宋_GB2312"/>
                <w:sz w:val="24"/>
                <w:lang w:val="en-US" w:eastAsia="zh-CN"/>
              </w:rPr>
              <w:t>2分，未提供不得分，最多加6分</w:t>
            </w:r>
          </w:p>
        </w:tc>
      </w:tr>
      <w:tr>
        <w:tblPrEx>
          <w:tblCellMar>
            <w:top w:w="0" w:type="dxa"/>
            <w:left w:w="0" w:type="dxa"/>
            <w:bottom w:w="0" w:type="dxa"/>
            <w:right w:w="0" w:type="dxa"/>
          </w:tblCellMar>
        </w:tblPrEx>
        <w:trPr>
          <w:trHeight w:val="1278"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lang w:val="en-US" w:eastAsia="zh-CN"/>
              </w:rPr>
            </w:pPr>
          </w:p>
        </w:tc>
        <w:tc>
          <w:tcPr>
            <w:tcW w:w="846"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eastAsia="仿宋_GB2312"/>
                <w:color w:val="auto"/>
                <w:sz w:val="24"/>
              </w:rPr>
              <w:t>团队实力</w:t>
            </w:r>
          </w:p>
        </w:tc>
        <w:tc>
          <w:tcPr>
            <w:tcW w:w="1385"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4</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rPr>
            </w:pPr>
            <w:r>
              <w:rPr>
                <w:rFonts w:hint="eastAsia" w:ascii="仿宋_GB2312" w:eastAsia="仿宋_GB2312"/>
                <w:color w:val="auto"/>
                <w:sz w:val="24"/>
              </w:rPr>
              <w:t>团队管理人员结构完整,经验丰富，项目经理同类项目工作经验满5年以上得2分，3年以上得1分，3年以下不得分。最多加</w:t>
            </w:r>
            <w:r>
              <w:rPr>
                <w:rFonts w:hint="eastAsia" w:ascii="仿宋_GB2312" w:eastAsia="仿宋_GB2312"/>
                <w:color w:val="auto"/>
                <w:sz w:val="24"/>
                <w:lang w:val="en-US" w:eastAsia="zh-CN"/>
              </w:rPr>
              <w:t>4</w:t>
            </w:r>
            <w:r>
              <w:rPr>
                <w:rFonts w:hint="eastAsia" w:ascii="仿宋_GB2312" w:eastAsia="仿宋_GB2312"/>
                <w:color w:val="auto"/>
                <w:sz w:val="24"/>
              </w:rPr>
              <w:t>分。</w:t>
            </w:r>
          </w:p>
        </w:tc>
      </w:tr>
      <w:tr>
        <w:tblPrEx>
          <w:tblCellMar>
            <w:top w:w="0" w:type="dxa"/>
            <w:left w:w="0" w:type="dxa"/>
            <w:bottom w:w="0" w:type="dxa"/>
            <w:right w:w="0" w:type="dxa"/>
          </w:tblCellMar>
        </w:tblPrEx>
        <w:trPr>
          <w:trHeight w:val="521" w:hRule="atLeast"/>
        </w:trPr>
        <w:tc>
          <w:tcPr>
            <w:tcW w:w="2721" w:type="dxa"/>
            <w:gridSpan w:val="3"/>
            <w:tcBorders>
              <w:top w:val="single" w:color="auto" w:sz="4" w:space="0"/>
              <w:left w:val="single" w:color="auto" w:sz="4" w:space="0"/>
              <w:bottom w:val="single" w:color="auto" w:sz="4" w:space="0"/>
              <w:right w:val="nil"/>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r>
    </w:tbl>
    <w:p>
      <w:pPr>
        <w:jc w:val="center"/>
        <w:rPr>
          <w:rFonts w:eastAsia="仿宋_GB2312"/>
          <w:b/>
          <w:bCs/>
          <w:color w:val="000000"/>
          <w:sz w:val="32"/>
          <w:szCs w:val="32"/>
        </w:rPr>
      </w:pPr>
    </w:p>
    <w:p>
      <w:pPr>
        <w:jc w:val="center"/>
        <w:rPr>
          <w:rFonts w:eastAsia="仿宋_GB2312"/>
          <w:b/>
          <w:bCs/>
          <w:color w:val="000000"/>
          <w:sz w:val="32"/>
          <w:szCs w:val="32"/>
        </w:rPr>
      </w:pPr>
    </w:p>
    <w:p>
      <w:pPr>
        <w:rPr>
          <w:rFonts w:eastAsia="仿宋_GB2312"/>
          <w:b/>
          <w:bCs/>
          <w:color w:val="000000"/>
          <w:sz w:val="32"/>
          <w:szCs w:val="32"/>
        </w:rPr>
      </w:pPr>
    </w:p>
    <w:p>
      <w:pPr>
        <w:jc w:val="center"/>
        <w:rPr>
          <w:rFonts w:eastAsia="仿宋_GB2312"/>
          <w:b/>
          <w:bCs/>
          <w:color w:val="000000"/>
          <w:sz w:val="32"/>
          <w:szCs w:val="32"/>
        </w:rPr>
      </w:pPr>
    </w:p>
    <w:p>
      <w:pPr>
        <w:pStyle w:val="14"/>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4"/>
        <w:spacing w:line="360" w:lineRule="exact"/>
        <w:ind w:firstLine="839" w:firstLineChars="190"/>
        <w:jc w:val="center"/>
        <w:rPr>
          <w:rFonts w:hint="eastAsia" w:ascii="仿宋_GB2312" w:eastAsia="仿宋_GB2312"/>
          <w:b/>
          <w:sz w:val="44"/>
          <w:szCs w:val="44"/>
        </w:rPr>
      </w:pPr>
    </w:p>
    <w:p>
      <w:pPr>
        <w:pStyle w:val="14"/>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Times New Roman" w:hAnsi="Times New Roman" w:eastAsia="华文中宋"/>
          <w:sz w:val="44"/>
          <w:szCs w:val="44"/>
        </w:rPr>
      </w:pPr>
      <w:r>
        <w:rPr>
          <w:rFonts w:hint="eastAsia" w:eastAsia="华文中宋"/>
          <w:sz w:val="44"/>
          <w:szCs w:val="44"/>
          <w:lang w:val="en-US" w:eastAsia="zh-CN"/>
        </w:rPr>
        <w:t>企业</w:t>
      </w:r>
      <w:r>
        <w:rPr>
          <w:rFonts w:hint="eastAsia" w:ascii="Times New Roman" w:hAnsi="Times New Roman" w:eastAsia="华文中宋"/>
          <w:sz w:val="44"/>
          <w:szCs w:val="44"/>
        </w:rPr>
        <w:t>文化宣传设计搭建项目</w:t>
      </w:r>
    </w:p>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合作协议</w:t>
      </w:r>
    </w:p>
    <w:p>
      <w:pPr>
        <w:ind w:firstLine="3040" w:firstLineChars="950"/>
        <w:rPr>
          <w:rFonts w:hint="eastAsia"/>
          <w:sz w:val="32"/>
          <w:szCs w:val="32"/>
        </w:rPr>
      </w:pPr>
    </w:p>
    <w:p>
      <w:pPr>
        <w:ind w:firstLine="4160" w:firstLineChars="1300"/>
        <w:rPr>
          <w:sz w:val="24"/>
        </w:rPr>
      </w:pPr>
      <w:r>
        <w:rPr>
          <w:rFonts w:eastAsia="仿宋_GB2312"/>
          <w:sz w:val="32"/>
          <w:szCs w:val="32"/>
        </w:rPr>
        <w:t>合同编号：</w:t>
      </w: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甲方：广西东博会国际会展有限公司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1.项目地点：</w:t>
      </w:r>
      <w:r>
        <w:rPr>
          <w:rFonts w:hint="eastAsia" w:ascii="仿宋_GB2312" w:hAnsi="仿宋_GB2312" w:eastAsia="仿宋_GB2312" w:cs="仿宋_GB2312"/>
          <w:sz w:val="32"/>
          <w:szCs w:val="32"/>
          <w:u w:val="single"/>
        </w:rPr>
        <w:t>柳州市鱼峰区</w:t>
      </w:r>
    </w:p>
    <w:p>
      <w:pPr>
        <w:ind w:firstLine="720" w:firstLineChars="225"/>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2.项目内容：</w:t>
      </w:r>
      <w:r>
        <w:rPr>
          <w:rFonts w:hint="eastAsia" w:ascii="仿宋_GB2312" w:hAnsi="仿宋_GB2312" w:eastAsia="仿宋_GB2312" w:cs="仿宋_GB2312"/>
          <w:sz w:val="32"/>
          <w:szCs w:val="32"/>
          <w:u w:val="single"/>
          <w:lang w:val="en-US" w:eastAsia="zh-CN"/>
        </w:rPr>
        <w:t>企业</w:t>
      </w:r>
      <w:r>
        <w:rPr>
          <w:rFonts w:hint="eastAsia" w:ascii="仿宋_GB2312" w:hAnsi="仿宋_GB2312" w:eastAsia="仿宋_GB2312" w:cs="仿宋_GB2312"/>
          <w:sz w:val="32"/>
          <w:szCs w:val="32"/>
          <w:u w:val="single"/>
        </w:rPr>
        <w:t>文化宣传设计搭建及维护</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3.项目范围：</w:t>
      </w:r>
      <w:r>
        <w:rPr>
          <w:rFonts w:hint="eastAsia" w:ascii="仿宋_GB2312" w:hAnsi="仿宋_GB2312" w:eastAsia="仿宋_GB2312" w:cs="仿宋_GB2312"/>
          <w:sz w:val="32"/>
          <w:szCs w:val="32"/>
          <w:u w:val="single"/>
          <w:lang w:eastAsia="zh-CN"/>
        </w:rPr>
        <w:t>设计</w:t>
      </w:r>
      <w:r>
        <w:rPr>
          <w:rFonts w:hint="eastAsia" w:ascii="仿宋_GB2312" w:hAnsi="仿宋_GB2312" w:eastAsia="仿宋_GB2312" w:cs="仿宋_GB2312"/>
          <w:sz w:val="32"/>
          <w:szCs w:val="32"/>
          <w:u w:val="single"/>
        </w:rPr>
        <w:t>及</w:t>
      </w:r>
      <w:r>
        <w:rPr>
          <w:rFonts w:hint="eastAsia" w:ascii="仿宋_GB2312" w:hAnsi="仿宋_GB2312" w:eastAsia="仿宋_GB2312" w:cs="仿宋_GB2312"/>
          <w:sz w:val="32"/>
          <w:szCs w:val="32"/>
          <w:u w:val="single"/>
          <w:lang w:val="en-US" w:eastAsia="zh-CN"/>
        </w:rPr>
        <w:t>搭建</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4.承包方式：</w:t>
      </w:r>
      <w:r>
        <w:rPr>
          <w:rFonts w:hint="eastAsia" w:ascii="仿宋_GB2312" w:hAnsi="仿宋_GB2312" w:eastAsia="仿宋_GB2312" w:cs="仿宋_GB2312"/>
          <w:sz w:val="32"/>
          <w:szCs w:val="32"/>
          <w:u w:val="single"/>
        </w:rPr>
        <w:t>包工包料</w:t>
      </w:r>
    </w:p>
    <w:p>
      <w:pPr>
        <w:ind w:firstLine="720" w:firstLineChars="225"/>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5.完成工期：</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u w:val="single"/>
        </w:rPr>
        <w:t>日前</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1.开工前，向乙方进行现场交底。向乙方提供施工所需的水源、电源。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2.指派</w:t>
      </w:r>
      <w:r>
        <w:rPr>
          <w:rFonts w:hint="eastAsia" w:ascii="仿宋_GB2312" w:hAnsi="仿宋_GB2312" w:eastAsia="仿宋_GB2312" w:cs="仿宋_GB2312"/>
          <w:sz w:val="32"/>
          <w:szCs w:val="32"/>
          <w:u w:val="single"/>
        </w:rPr>
        <w:t xml:space="preserve"> 李艳龙 </w:t>
      </w:r>
      <w:r>
        <w:rPr>
          <w:rFonts w:hint="eastAsia" w:ascii="仿宋_GB2312" w:hAnsi="仿宋_GB2312" w:eastAsia="仿宋_GB2312" w:cs="仿宋_GB2312"/>
          <w:sz w:val="32"/>
          <w:szCs w:val="32"/>
        </w:rPr>
        <w:t xml:space="preserve"> 为甲方代表，负责合同履行。对工程质量、进度进行监督检查，办理验收、变更、登记手续和其他事宜。</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3.甲方应按合同约定条款履行合约，如因甲方原因造成工期延误责任由甲方承担责任，乙方有权顺延工期。</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1.乙方在合同签订后2日之内提供施工方案和进度计划，如不能按约定时间完成，乙方必须提前1日说明与甲方进行友好协商。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驻工地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4.在施工过程中，必须服从甲方及监理方有关工程技术人员的规范检查与监督，遵守国家、地方政府及有关部门对施工现场管理的规定。</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5.乙方进场施工必须学习了解第三方场地施工规范，如有违反则由乙方承担一切责任及费用。</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6.乙方提供的物料及材料在施工过程中，如未按《施工报价清单》里的参数标准提供及施工要求实施，造成的一切损失由乙方负责。</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8.乙方必须保证施工人员按每日计划的时间到岗开工。如施工人员未按规定在非工作时间段内进行施工，一切责任由乙方自行承担。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9.乙方必须按照甲方要求的最晚退场时间前完成所有清场工作，如超出时间一切责任由乙方自行承担。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10.乙方必须在合同约定的时间内完成施工，除合理顺延情形外，如有超出约定时间按违约处理。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11.乙方不得将甲方提供的任何资料和施工现场资料提供给第三方，如有违反造成的一切后果均由乙方承担全部责任。此义务不因本合同的终止、解除而终止。</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12.乙方施工前必须对施工场地进行测量，并及时与甲方核对物料及材料尺寸，否则因物料及材料的尺寸问题发生任何纠纷，一切费用由乙方自行承担。</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sz w:val="32"/>
          <w:szCs w:val="32"/>
        </w:rPr>
        <w:t>质量及验收的约定</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1.甲、乙双方应及时办理隐蔽工程和中间工程的检查与验收手续。</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2.因乙方原因造成工程质量问题，其返工费用由乙方承担，因甲方未及时核对物料造成的工程质量问题由甲方承担返工费用。</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乙方施工工序安排应服从甲方进场进度要求。乙方在完成室内装修工程后，必须在1日内书面通知甲方进行验收，乙方及时发出通知的视为施工时间结束。甲方必须在接到书面通知后1日内到场验收，甲方未按时验收的，视为工程施工合格。</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五、关于</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sz w:val="32"/>
          <w:szCs w:val="32"/>
        </w:rPr>
        <w:t>价款的支付及结算的约定</w:t>
      </w:r>
    </w:p>
    <w:p>
      <w:pPr>
        <w:ind w:firstLine="720" w:firstLineChars="225"/>
        <w:rPr>
          <w:rFonts w:hint="eastAsia" w:ascii="仿宋_GB2312" w:hAnsi="仿宋_GB2312" w:eastAsia="仿宋_GB2312" w:cs="仿宋_GB2312"/>
          <w:b/>
          <w:kern w:val="52"/>
          <w:sz w:val="32"/>
          <w:szCs w:val="32"/>
        </w:rPr>
      </w:pPr>
      <w:r>
        <w:rPr>
          <w:rFonts w:hint="eastAsia" w:ascii="仿宋_GB2312" w:hAnsi="仿宋_GB2312" w:eastAsia="仿宋_GB2312" w:cs="仿宋_GB2312"/>
          <w:sz w:val="32"/>
          <w:szCs w:val="32"/>
        </w:rPr>
        <w:t>双方以报价单作为本工程最终结算单价，以双方审定的实际装修面积作为计算依据。如施工中，有面积变更，减少部分扣除，增加部分按单项的单价结算。</w:t>
      </w:r>
    </w:p>
    <w:p>
      <w:pPr>
        <w:widowControl/>
        <w:ind w:firstLine="643" w:firstLineChars="200"/>
        <w:jc w:val="left"/>
        <w:rPr>
          <w:rFonts w:hint="eastAsia" w:ascii="仿宋_GB2312" w:hAnsi="仿宋_GB2312" w:eastAsia="仿宋_GB2312" w:cs="仿宋_GB2312"/>
          <w:kern w:val="52"/>
          <w:sz w:val="32"/>
          <w:szCs w:val="32"/>
        </w:rPr>
      </w:pPr>
      <w:r>
        <w:rPr>
          <w:rFonts w:hint="eastAsia" w:ascii="仿宋_GB2312" w:hAnsi="仿宋_GB2312" w:eastAsia="仿宋_GB2312" w:cs="仿宋_GB2312"/>
          <w:b/>
          <w:kern w:val="52"/>
          <w:sz w:val="32"/>
          <w:szCs w:val="32"/>
        </w:rPr>
        <w:t>六、本</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kern w:val="52"/>
          <w:sz w:val="32"/>
          <w:szCs w:val="32"/>
        </w:rPr>
        <w:t>总造价暂定为人民币</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lang w:eastAsia="zh-CN"/>
        </w:rPr>
        <w:t>元整</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52"/>
          <w:sz w:val="32"/>
          <w:szCs w:val="32"/>
          <w:u w:val="single"/>
        </w:rPr>
        <w:t>(</w:t>
      </w:r>
      <w:r>
        <w:rPr>
          <w:rFonts w:hint="eastAsia" w:ascii="仿宋_GB2312" w:eastAsia="仿宋_GB2312"/>
          <w:sz w:val="28"/>
          <w:szCs w:val="28"/>
          <w:u w:val="single"/>
          <w:lang w:val="en-US" w:eastAsia="zh-CN"/>
        </w:rPr>
        <w:t>0000.00</w:t>
      </w:r>
      <w:r>
        <w:rPr>
          <w:rFonts w:hint="eastAsia" w:ascii="仿宋_GB2312" w:hAnsi="仿宋_GB2312" w:eastAsia="仿宋_GB2312" w:cs="仿宋_GB2312"/>
          <w:kern w:val="52"/>
          <w:sz w:val="32"/>
          <w:szCs w:val="32"/>
          <w:u w:val="single"/>
        </w:rPr>
        <w:t>元)</w:t>
      </w:r>
      <w:r>
        <w:rPr>
          <w:rFonts w:hint="eastAsia" w:ascii="仿宋_GB2312" w:hAnsi="仿宋_GB2312" w:eastAsia="仿宋_GB2312" w:cs="仿宋_GB2312"/>
          <w:kern w:val="52"/>
          <w:sz w:val="32"/>
          <w:szCs w:val="32"/>
        </w:rPr>
        <w:t>工程费支付进度详见下表：</w:t>
      </w:r>
    </w:p>
    <w:p>
      <w:pPr>
        <w:adjustRightInd w:val="0"/>
        <w:snapToGrid w:val="0"/>
        <w:spacing w:line="500" w:lineRule="exact"/>
        <w:ind w:firstLine="640" w:firstLineChars="200"/>
        <w:rPr>
          <w:color w:val="000000"/>
          <w:szCs w:val="18"/>
        </w:rPr>
      </w:pPr>
      <w:r>
        <w:rPr>
          <w:rFonts w:hint="eastAsia" w:ascii="仿宋_GB2312" w:hAnsi="仿宋_GB2312" w:eastAsia="仿宋_GB2312" w:cs="仿宋_GB2312"/>
          <w:color w:val="000000"/>
          <w:sz w:val="32"/>
          <w:szCs w:val="32"/>
        </w:rPr>
        <w:t>乙方须出具等额增值税专用发票后，甲方再付款，否则甲方有权顺延付款时间。</w:t>
      </w:r>
    </w:p>
    <w:tbl>
      <w:tblPr>
        <w:tblStyle w:val="24"/>
        <w:tblpPr w:leftFromText="180" w:rightFromText="180" w:vertAnchor="text" w:horzAnchor="page" w:tblpX="1815" w:tblpY="10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占总工程费％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50％</w:t>
            </w:r>
          </w:p>
        </w:tc>
        <w:tc>
          <w:tcPr>
            <w:tcW w:w="1980" w:type="dxa"/>
            <w:noWrap w:val="0"/>
            <w:vAlign w:val="center"/>
          </w:tcPr>
          <w:p>
            <w:pPr>
              <w:jc w:val="center"/>
              <w:rPr>
                <w:rFonts w:hint="default" w:ascii="仿宋_GB2312" w:hAnsi="仿宋_GB2312" w:eastAsia="仿宋_GB2312" w:cs="仿宋_GB2312"/>
                <w:sz w:val="24"/>
                <w:lang w:val="en-US"/>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50％</w:t>
            </w:r>
          </w:p>
        </w:tc>
        <w:tc>
          <w:tcPr>
            <w:tcW w:w="1980" w:type="dxa"/>
            <w:noWrap w:val="0"/>
            <w:vAlign w:val="center"/>
          </w:tcPr>
          <w:p>
            <w:pPr>
              <w:jc w:val="center"/>
              <w:rPr>
                <w:rFonts w:hint="default" w:ascii="仿宋_GB2312" w:hAnsi="仿宋_GB2312" w:eastAsia="仿宋_GB2312" w:cs="仿宋_GB2312"/>
                <w:kern w:val="52"/>
                <w:sz w:val="24"/>
                <w:lang w:val="en-US"/>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工程完工并经甲方确认后10个工作日内</w:t>
            </w:r>
          </w:p>
        </w:tc>
      </w:tr>
    </w:tbl>
    <w:p>
      <w:pPr>
        <w:rPr>
          <w:rFonts w:hint="eastAsia"/>
          <w:kern w:val="52"/>
          <w:sz w:val="24"/>
        </w:rPr>
      </w:pP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七、违约责任                                   </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1.乙方要确保按期交工，逾期不完工的，每推迟1天，甲方按暂定的工程总造价</w:t>
      </w:r>
      <w:r>
        <w:rPr>
          <w:rFonts w:hint="eastAsia" w:ascii="仿宋_GB2312" w:eastAsia="仿宋_GB2312"/>
          <w:sz w:val="28"/>
          <w:szCs w:val="28"/>
          <w:u w:val="single"/>
          <w:lang w:val="en-US" w:eastAsia="zh-CN"/>
        </w:rPr>
        <w:t>0000.00</w:t>
      </w:r>
      <w:r>
        <w:rPr>
          <w:rFonts w:hint="eastAsia" w:ascii="仿宋_GB2312" w:hAnsi="仿宋_GB2312" w:eastAsia="仿宋_GB2312" w:cs="仿宋_GB2312"/>
          <w:kern w:val="52"/>
          <w:sz w:val="32"/>
          <w:szCs w:val="32"/>
        </w:rPr>
        <w:t>元的</w:t>
      </w:r>
      <w:r>
        <w:rPr>
          <w:rFonts w:hint="eastAsia" w:ascii="仿宋_GB2312" w:hAnsi="仿宋_GB2312" w:eastAsia="仿宋_GB2312" w:cs="仿宋_GB2312"/>
          <w:sz w:val="32"/>
          <w:szCs w:val="32"/>
        </w:rPr>
        <w:t>5%每天对乙方进行处罚。</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施工报价清单》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0" w:firstLineChars="225"/>
        <w:jc w:val="left"/>
        <w:rPr>
          <w:rFonts w:hint="eastAsia" w:ascii="仿宋_GB2312" w:hAnsi="仿宋_GB2312" w:eastAsia="仿宋_GB2312" w:cs="仿宋_GB2312"/>
          <w:b/>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.因乙方违约造成本合同无法继续履行或解除的，乙方除承担相应的违约责任外，还须承担由此给甲方造成的全部损失（包括但不限于律师费、仲裁费、交通费等）。</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八、争议处理</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十、其它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叁</w:t>
      </w:r>
      <w:r>
        <w:rPr>
          <w:rFonts w:hint="eastAsia" w:ascii="仿宋_GB2312" w:hAnsi="仿宋_GB2312" w:eastAsia="仿宋_GB2312" w:cs="仿宋_GB2312"/>
          <w:sz w:val="32"/>
          <w:szCs w:val="32"/>
        </w:rPr>
        <w:t xml:space="preserve"> 份。经双方签字并盖章后立即生效。至工程验收完毕和结清工程款后失效。</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2.项目质保为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lang w:val="en-US" w:eastAsia="zh-CN"/>
        </w:rPr>
        <w:t>年</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3.本合同未尽事宜，双方协商解决。</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rPr>
      </w:pPr>
    </w:p>
    <w:p>
      <w:pPr>
        <w:rPr>
          <w:rFonts w:hint="eastAsia" w:ascii="宋体" w:hAnsi="宋体"/>
          <w:sz w:val="24"/>
        </w:rPr>
      </w:pPr>
    </w:p>
    <w:tbl>
      <w:tblPr>
        <w:tblStyle w:val="24"/>
        <w:tblW w:w="0" w:type="auto"/>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广西东博会国际会展有限公司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r>
              <w:rPr>
                <w:rFonts w:hint="eastAsia" w:ascii="仿宋_GB2312" w:hAnsi="仿宋_GB2312" w:eastAsia="仿宋_GB2312" w:cs="仿宋_GB2312"/>
                <w:kern w:val="52"/>
                <w:sz w:val="24"/>
                <w:lang w:eastAsia="zh-CN"/>
              </w:rPr>
              <w:t>或委托代理人</w:t>
            </w:r>
            <w:r>
              <w:rPr>
                <w:rFonts w:hint="eastAsia" w:ascii="仿宋_GB2312" w:hAnsi="仿宋_GB2312" w:eastAsia="仿宋_GB2312" w:cs="仿宋_GB2312"/>
                <w:kern w:val="52"/>
                <w:sz w:val="24"/>
              </w:rPr>
              <w:t>：</w:t>
            </w:r>
          </w:p>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r>
              <w:rPr>
                <w:rFonts w:hint="eastAsia" w:ascii="仿宋_GB2312" w:hAnsi="仿宋_GB2312" w:eastAsia="仿宋_GB2312" w:cs="仿宋_GB2312"/>
                <w:kern w:val="52"/>
                <w:sz w:val="24"/>
                <w:lang w:eastAsia="zh-CN"/>
              </w:rPr>
              <w:t>或委托代理人</w:t>
            </w:r>
            <w:r>
              <w:rPr>
                <w:rFonts w:hint="eastAsia" w:ascii="仿宋_GB2312" w:hAnsi="仿宋_GB2312" w:eastAsia="仿宋_GB2312" w:cs="仿宋_GB2312"/>
                <w:kern w:val="52"/>
                <w:sz w:val="24"/>
              </w:rPr>
              <w:t>：</w:t>
            </w:r>
          </w:p>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85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南宁市青秀区会展路18号会展大厦</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r>
              <w:rPr>
                <w:rFonts w:eastAsia="仿宋_GB2312"/>
                <w:spacing w:val="-20"/>
                <w:sz w:val="24"/>
              </w:rPr>
              <w:t>中国银行广西壮族自治区分行营业部</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hint="eastAsia" w:eastAsia="仿宋_GB2312"/>
                <w:spacing w:val="-20"/>
                <w:sz w:val="24"/>
              </w:rPr>
              <w:t>619776001780</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jc w:val="center"/>
        <w:rPr>
          <w:rFonts w:eastAsia="仿宋_GB2312"/>
          <w:b/>
          <w:bCs/>
          <w:color w:val="000000"/>
          <w:sz w:val="32"/>
          <w:szCs w:val="32"/>
        </w:rPr>
      </w:pPr>
    </w:p>
    <w:p>
      <w:pPr>
        <w:jc w:val="center"/>
        <w:rPr>
          <w:rFonts w:eastAsia="仿宋_GB2312"/>
          <w:b/>
          <w:bCs/>
          <w:color w:val="000000"/>
          <w:sz w:val="32"/>
          <w:szCs w:val="32"/>
        </w:rPr>
      </w:pPr>
    </w:p>
    <w:p>
      <w:pPr>
        <w:jc w:val="both"/>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lang w:eastAsia="zh-CN"/>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5137408"/>
      <w:bookmarkStart w:id="3" w:name="_Toc264882251"/>
      <w:bookmarkStart w:id="4" w:name="_Toc274756332"/>
      <w:bookmarkStart w:id="5" w:name="_Toc264731469"/>
      <w:bookmarkStart w:id="6" w:name="_Toc265137628"/>
      <w:bookmarkStart w:id="7" w:name="_Toc265138140"/>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eastAsia" w:ascii="仿宋_GB2312" w:hAnsi="宋体" w:eastAsia="仿宋_GB2312"/>
          <w:b/>
          <w:color w:val="000000"/>
          <w:sz w:val="44"/>
          <w:szCs w:val="44"/>
        </w:rPr>
        <w:t>谈  判  书</w:t>
      </w: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广西东博会国际会展有限公司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4"/>
          <w:u w:val="single"/>
        </w:rPr>
        <w:t xml:space="preserve"> </w:t>
      </w:r>
      <w:r>
        <w:rPr>
          <w:rFonts w:hint="eastAsia" w:ascii="仿宋_GB2312" w:eastAsia="仿宋_GB2312"/>
          <w:sz w:val="28"/>
          <w:szCs w:val="28"/>
          <w:u w:val="single"/>
          <w:lang w:val="en-US" w:eastAsia="zh-CN"/>
        </w:rPr>
        <w:t>企业</w:t>
      </w:r>
      <w:r>
        <w:rPr>
          <w:rFonts w:hint="eastAsia" w:ascii="仿宋_GB2312" w:eastAsia="仿宋_GB2312"/>
          <w:sz w:val="28"/>
          <w:szCs w:val="28"/>
          <w:u w:val="single"/>
        </w:rPr>
        <w:t>文化宣传设计搭建项目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pStyle w:val="2"/>
        <w:rPr>
          <w:rFonts w:hint="eastAsia"/>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lang w:val="en-US" w:eastAsia="zh-CN"/>
        </w:rPr>
        <w:t>企业</w:t>
      </w:r>
      <w:r>
        <w:rPr>
          <w:rFonts w:hint="eastAsia" w:ascii="宋体" w:hAnsi="宋体" w:cstheme="minorEastAsia"/>
          <w:sz w:val="28"/>
          <w:szCs w:val="28"/>
          <w:u w:val="single"/>
        </w:rPr>
        <w:t>文化宣传设计搭建项目</w:t>
      </w:r>
      <w:r>
        <w:rPr>
          <w:rFonts w:hint="eastAsia" w:ascii="宋体" w:hAnsi="宋体"/>
          <w:color w:val="000000"/>
          <w:sz w:val="28"/>
          <w:szCs w:val="28"/>
          <w:u w:val="single"/>
        </w:rPr>
        <w:t xml:space="preserve">    </w:t>
      </w:r>
    </w:p>
    <w:tbl>
      <w:tblPr>
        <w:tblStyle w:val="24"/>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lang w:val="en-US" w:eastAsia="zh-CN"/>
              </w:rPr>
              <w:t>不含税总报价</w:t>
            </w:r>
            <w:r>
              <w:rPr>
                <w:rFonts w:hint="eastAsia" w:cs="Arial" w:asciiTheme="minorEastAsia" w:hAnsiTheme="minorEastAsia" w:eastAsiaTheme="minorEastAsia"/>
                <w:sz w:val="28"/>
                <w:szCs w:val="28"/>
              </w:rPr>
              <w:t>(元)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hint="eastAsia" w:ascii="宋体" w:hAnsi="宋体" w:eastAsiaTheme="minorEastAsia"/>
                <w:color w:val="000000"/>
                <w:sz w:val="28"/>
                <w:szCs w:val="28"/>
                <w:lang w:eastAsia="zh-CN"/>
              </w:rPr>
            </w:pPr>
            <w:r>
              <w:rPr>
                <w:rFonts w:hint="eastAsia" w:cs="Arial" w:asciiTheme="minorEastAsia" w:hAnsiTheme="minorEastAsia" w:eastAsiaTheme="minorEastAsia"/>
                <w:sz w:val="28"/>
                <w:szCs w:val="28"/>
                <w:lang w:eastAsia="zh-CN"/>
              </w:rPr>
              <w:t>含税</w:t>
            </w:r>
            <w:r>
              <w:rPr>
                <w:rFonts w:hint="eastAsia" w:cs="Arial" w:asciiTheme="minorEastAsia" w:hAnsiTheme="minorEastAsia" w:eastAsiaTheme="minorEastAsia"/>
                <w:sz w:val="28"/>
                <w:szCs w:val="28"/>
                <w:lang w:val="en-US" w:eastAsia="zh-CN"/>
              </w:rPr>
              <w:t>总报价</w:t>
            </w:r>
            <w:r>
              <w:rPr>
                <w:rFonts w:hint="eastAsia" w:cs="Arial" w:asciiTheme="minorEastAsia" w:hAnsiTheme="minorEastAsia" w:eastAsiaTheme="minorEastAsia"/>
                <w:sz w:val="28"/>
                <w:szCs w:val="28"/>
                <w:lang w:eastAsia="zh-CN"/>
              </w:rPr>
              <w:t>（</w:t>
            </w:r>
            <w:r>
              <w:rPr>
                <w:rFonts w:hint="eastAsia" w:cs="Arial" w:asciiTheme="minorEastAsia" w:hAnsiTheme="minorEastAsia" w:eastAsiaTheme="minorEastAsia"/>
                <w:sz w:val="28"/>
                <w:szCs w:val="28"/>
                <w:lang w:val="en-US" w:eastAsia="zh-CN"/>
              </w:rPr>
              <w:t>元</w:t>
            </w:r>
            <w:r>
              <w:rPr>
                <w:rFonts w:hint="eastAsia" w:cs="Arial" w:asciiTheme="minorEastAsia" w:hAnsiTheme="minorEastAsia" w:eastAsiaTheme="minorEastAsia"/>
                <w:sz w:val="28"/>
                <w:szCs w:val="28"/>
                <w:lang w:eastAsia="zh-CN"/>
              </w:rPr>
              <w:t>）</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654" w:type="dxa"/>
            <w:vAlign w:val="center"/>
          </w:tcPr>
          <w:p>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cs="仿宋_GB2312" w:asciiTheme="minorEastAsia" w:hAnsiTheme="minorEastAsia" w:eastAsiaTheme="minorEastAsia"/>
                <w:kern w:val="0"/>
                <w:sz w:val="28"/>
                <w:szCs w:val="28"/>
                <w:highlight w:val="none"/>
              </w:rPr>
              <w:t>宣传栏设计项目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ascii="宋体" w:hAnsi="宋体"/>
                <w:color w:val="000000"/>
                <w:sz w:val="28"/>
                <w:szCs w:val="28"/>
              </w:rPr>
            </w:pPr>
          </w:p>
        </w:tc>
        <w:tc>
          <w:tcPr>
            <w:tcW w:w="1654" w:type="dxa"/>
          </w:tcPr>
          <w:p>
            <w:pPr>
              <w:jc w:val="center"/>
              <w:rPr>
                <w:rFonts w:ascii="宋体" w:hAnsi="宋体"/>
                <w:color w:val="000000"/>
                <w:sz w:val="28"/>
                <w:szCs w:val="28"/>
              </w:rPr>
            </w:pPr>
          </w:p>
        </w:tc>
      </w:tr>
    </w:tbl>
    <w:p>
      <w:pPr>
        <w:pStyle w:val="2"/>
        <w:ind w:left="0" w:leftChars="0" w:firstLine="0" w:firstLineChars="0"/>
      </w:pP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含税总报价（大写）：       </w:t>
      </w: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明细报价详见后表。</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pStyle w:val="2"/>
        <w:rPr>
          <w:rFonts w:hint="eastAsia" w:ascii="宋体" w:hAnsi="宋体" w:eastAsia="宋体" w:cs="宋体"/>
          <w:b/>
          <w:color w:val="000000"/>
          <w:szCs w:val="21"/>
        </w:rPr>
      </w:pPr>
    </w:p>
    <w:p>
      <w:pPr>
        <w:rPr>
          <w:rFonts w:hint="eastAsia"/>
        </w:rPr>
      </w:pPr>
    </w:p>
    <w:p>
      <w:pPr>
        <w:pStyle w:val="2"/>
        <w:ind w:left="0" w:leftChars="0" w:firstLine="0" w:firstLineChars="0"/>
        <w:rPr>
          <w:rFonts w:hint="eastAsia"/>
          <w:b/>
          <w:bCs/>
        </w:rPr>
      </w:pPr>
      <w:r>
        <w:rPr>
          <w:rFonts w:hint="eastAsia" w:ascii="宋体" w:hAnsi="宋体"/>
          <w:b/>
          <w:color w:val="000000"/>
          <w:szCs w:val="21"/>
        </w:rPr>
        <w:t>附件</w:t>
      </w:r>
      <w:r>
        <w:rPr>
          <w:rFonts w:hint="eastAsia" w:ascii="宋体" w:hAnsi="宋体"/>
          <w:b/>
          <w:color w:val="000000"/>
          <w:szCs w:val="21"/>
          <w:lang w:eastAsia="zh-CN"/>
        </w:rPr>
        <w:t>三</w:t>
      </w:r>
      <w:r>
        <w:rPr>
          <w:rFonts w:hint="eastAsia"/>
          <w:b/>
          <w:bCs/>
        </w:rPr>
        <w:t xml:space="preserve">  </w:t>
      </w:r>
    </w:p>
    <w:p>
      <w:pPr>
        <w:pStyle w:val="2"/>
        <w:ind w:left="0" w:leftChars="0" w:firstLine="0" w:firstLineChars="0"/>
        <w:jc w:val="center"/>
        <w:rPr>
          <w:rFonts w:hint="eastAsia"/>
          <w:sz w:val="24"/>
          <w:szCs w:val="32"/>
          <w:lang w:val="en-US" w:eastAsia="zh-CN"/>
        </w:rPr>
      </w:pPr>
      <w:r>
        <w:rPr>
          <w:rFonts w:hint="eastAsia"/>
          <w:sz w:val="24"/>
          <w:szCs w:val="32"/>
          <w:lang w:val="en-US" w:eastAsia="zh-CN"/>
        </w:rPr>
        <w:t>报价明细表</w:t>
      </w:r>
    </w:p>
    <w:tbl>
      <w:tblPr>
        <w:tblStyle w:val="24"/>
        <w:tblW w:w="9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863"/>
        <w:gridCol w:w="2039"/>
        <w:gridCol w:w="1733"/>
        <w:gridCol w:w="700"/>
        <w:gridCol w:w="567"/>
        <w:gridCol w:w="783"/>
        <w:gridCol w:w="914"/>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计划材质及工艺/作业明细</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计划尺寸（mm)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计划数量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单价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金额</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70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一、宣传栏及各制造中心展板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厂区宣传栏</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钢结构+镀锌板烤漆</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39500*3000mm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2cmPVC字+烤漆</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画面-PVC+高清户外背胶</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3000*1200mm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亚克力卡槽</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220*310mm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混凝土预埋</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熔铸制造中心管理看板</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（单面）钢结构+木结构打底刮腻子刷漆</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L8000*H2700*D400mm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主体结构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PVC烤漆、UV、高清写真</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L8000*H2700mm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画面内容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40w射灯</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LED射灯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热轧公司层面管理看板</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（单面）钢结构+木结构打底刮腻子刷漆</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L11400*H2800*D400mm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主体结构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PVC烤漆、UV、高清写真</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L11400*H2800mm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画面内容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40w射灯</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LED射灯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热轧制造中心管理看板</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（单面）钢结构+木结构打底刮腻子刷漆</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L11400*H2800*D400mm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主体结构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PVC烤漆、UV、高清写真</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L11400*H2800mm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画面内容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40w射灯</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LED射灯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冷轧制造中心管理看板</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（双面）钢结构+木结构打底刮腻子刷漆</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L7000*H2200*D400mm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主体结构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PVC烤漆、UV、高清写真</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L7000*H2200mm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正面画面内容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PVC烤漆、UV</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L7000*H2200mm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背面画面内容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40w射灯</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LED射灯-正面装灯，背面不装灯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0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二、企业文化标识造型</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企业文化标识造型1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钢结构+镀锌板烤漆+PVCuv</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L3600*H2000*D400mm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内容：管理深化改革  技术创新升级  经营精益增效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企业文化标识造型2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钢结构+镀锌板烤漆+PVCuv</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L4770*H2000*D400mm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内容：奋进新征程  建工新时代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70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三、人工安装、拆除、运输类</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人工安装费</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宣传栏施工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宣传栏施工4人施工3天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热轧制造中心管理看板施工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热轧管理看板4人施工3天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热轧-公司级管理看板施工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公司级管理看板4人施工3天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冷轧制造中心管理看板施工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冷轧管理看板3人施工3天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熔铸制造中心管理看板施工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熔铸管理看板3人施工3天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文化标识造型施工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文化标识造型3人施工1天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旧宣传栏拆除</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旧宣传栏拆除3人施工1天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施工用脚手架费</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物料运输费</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趟</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6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6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18"/>
                <w:szCs w:val="18"/>
                <w:u w:val="none"/>
                <w:lang w:val="en-US" w:eastAsia="zh-CN" w:bidi="ar"/>
              </w:rPr>
              <w:t>项目管理费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6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bl>
    <w:p>
      <w:pPr>
        <w:rPr>
          <w:rFonts w:hint="eastAsia"/>
          <w:sz w:val="24"/>
          <w:szCs w:val="32"/>
          <w:lang w:val="en-US" w:eastAsia="zh-CN"/>
        </w:rPr>
      </w:pPr>
    </w:p>
    <w:p>
      <w:pPr>
        <w:pStyle w:val="2"/>
        <w:rPr>
          <w:rFonts w:hint="default"/>
          <w:lang w:val="en-US" w:eastAsia="zh-CN"/>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附件</w:t>
      </w:r>
      <w:r>
        <w:rPr>
          <w:rFonts w:hint="eastAsia" w:ascii="宋体" w:hAnsi="宋体" w:cs="宋体"/>
          <w:b/>
          <w:color w:val="000000"/>
          <w:szCs w:val="21"/>
          <w:lang w:eastAsia="zh-CN"/>
        </w:rPr>
        <w:t>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广西东博会国际会展有限公司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4"/>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eastAsia="宋体"/>
          <w:b/>
          <w:color w:val="000000"/>
          <w:lang w:eastAsia="zh-CN"/>
        </w:rPr>
      </w:pPr>
      <w:r>
        <w:rPr>
          <w:rFonts w:hint="eastAsia" w:hAnsi="宋体"/>
          <w:b/>
          <w:color w:val="000000"/>
        </w:rPr>
        <w:t>附件</w:t>
      </w:r>
      <w:r>
        <w:rPr>
          <w:rFonts w:hint="eastAsia" w:hAnsi="宋体"/>
          <w:b/>
          <w:color w:val="000000"/>
          <w:lang w:eastAsia="zh-CN"/>
        </w:rPr>
        <w:t>五</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广西东博会国际会展有限公司：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rPr>
          <w:rFonts w:hint="eastAsia"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p>
    <w:p>
      <w:pPr>
        <w:pStyle w:val="14"/>
        <w:spacing w:line="400" w:lineRule="exact"/>
        <w:rPr>
          <w:rFonts w:eastAsia="仿宋_GB2312"/>
          <w:sz w:val="30"/>
          <w:szCs w:val="30"/>
        </w:rPr>
      </w:pPr>
      <w:r>
        <w:rPr>
          <w:rFonts w:hint="eastAsia" w:ascii="仿宋_GB2312" w:hAnsi="Times New Roman" w:eastAsia="仿宋_GB2312" w:cs="仿宋_GB2312"/>
          <w:sz w:val="28"/>
          <w:szCs w:val="28"/>
        </w:rPr>
        <w:t xml:space="preserve">                  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lang w:eastAsia="zh-CN"/>
      </w:rPr>
    </w:pPr>
    <w:r>
      <w:rPr>
        <w:rFonts w:hint="eastAsia"/>
      </w:rPr>
      <w:t>项目名称：</w:t>
    </w:r>
    <w:r>
      <w:rPr>
        <w:rFonts w:hint="eastAsia"/>
        <w:lang w:val="en-US" w:eastAsia="zh-CN"/>
      </w:rPr>
      <w:t>企业</w:t>
    </w:r>
    <w:r>
      <w:rPr>
        <w:rFonts w:hint="eastAsia"/>
        <w:lang w:eastAsia="zh-CN"/>
      </w:rPr>
      <w:t>文化宣传设计搭建项目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YjJlNWE0YjI2NjQzYzFkMzcxN2VlYTcwYmY5ZmY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C6B2D"/>
    <w:rsid w:val="028E2E07"/>
    <w:rsid w:val="02915183"/>
    <w:rsid w:val="02B73A45"/>
    <w:rsid w:val="02C313DB"/>
    <w:rsid w:val="02C57F48"/>
    <w:rsid w:val="02D7069C"/>
    <w:rsid w:val="02E25757"/>
    <w:rsid w:val="02F81EC5"/>
    <w:rsid w:val="030F6B95"/>
    <w:rsid w:val="03173A2A"/>
    <w:rsid w:val="031754F7"/>
    <w:rsid w:val="032835D3"/>
    <w:rsid w:val="03586D0D"/>
    <w:rsid w:val="035E2B6B"/>
    <w:rsid w:val="036946C1"/>
    <w:rsid w:val="037642BF"/>
    <w:rsid w:val="03767EB5"/>
    <w:rsid w:val="037B54CB"/>
    <w:rsid w:val="039430EB"/>
    <w:rsid w:val="039447AC"/>
    <w:rsid w:val="039E4BC5"/>
    <w:rsid w:val="03A026FC"/>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E0447"/>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D07B2"/>
    <w:rsid w:val="07F66BEA"/>
    <w:rsid w:val="07F77481"/>
    <w:rsid w:val="07F97A59"/>
    <w:rsid w:val="07FC1ABB"/>
    <w:rsid w:val="07FD5AE2"/>
    <w:rsid w:val="08125C8E"/>
    <w:rsid w:val="0818685D"/>
    <w:rsid w:val="083830B1"/>
    <w:rsid w:val="083F43B4"/>
    <w:rsid w:val="085022AB"/>
    <w:rsid w:val="087E4E8B"/>
    <w:rsid w:val="088E7A4F"/>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0C3451"/>
    <w:rsid w:val="0D191018"/>
    <w:rsid w:val="0D1A6FD4"/>
    <w:rsid w:val="0D235E02"/>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A1684"/>
    <w:rsid w:val="154B6A0F"/>
    <w:rsid w:val="15733B7B"/>
    <w:rsid w:val="15793835"/>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C43019"/>
    <w:rsid w:val="18FC05A2"/>
    <w:rsid w:val="19037756"/>
    <w:rsid w:val="19056B3A"/>
    <w:rsid w:val="191C1476"/>
    <w:rsid w:val="19287A4C"/>
    <w:rsid w:val="193308D0"/>
    <w:rsid w:val="195E6DB5"/>
    <w:rsid w:val="197207C0"/>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40EBD"/>
    <w:rsid w:val="1A0643D1"/>
    <w:rsid w:val="1A1F7D28"/>
    <w:rsid w:val="1A2951FD"/>
    <w:rsid w:val="1A2C0FFE"/>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1441D2"/>
    <w:rsid w:val="1B1F3E17"/>
    <w:rsid w:val="1B375D24"/>
    <w:rsid w:val="1B3B0FDB"/>
    <w:rsid w:val="1B4A6D12"/>
    <w:rsid w:val="1B6C00C4"/>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3B579F"/>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70CFC"/>
    <w:rsid w:val="1D9C6312"/>
    <w:rsid w:val="1D9D507C"/>
    <w:rsid w:val="1DA31EA4"/>
    <w:rsid w:val="1DA751EB"/>
    <w:rsid w:val="1DAB29F9"/>
    <w:rsid w:val="1DAF233A"/>
    <w:rsid w:val="1DC26FCB"/>
    <w:rsid w:val="1DC928FF"/>
    <w:rsid w:val="1DCD328E"/>
    <w:rsid w:val="1DD02D02"/>
    <w:rsid w:val="1DDF0101"/>
    <w:rsid w:val="1DE748F0"/>
    <w:rsid w:val="1DE820C9"/>
    <w:rsid w:val="1E024F37"/>
    <w:rsid w:val="1E041CBE"/>
    <w:rsid w:val="1E04562B"/>
    <w:rsid w:val="1E092AE3"/>
    <w:rsid w:val="1E230136"/>
    <w:rsid w:val="1E2406D0"/>
    <w:rsid w:val="1E267629"/>
    <w:rsid w:val="1E394DAD"/>
    <w:rsid w:val="1E3B06BF"/>
    <w:rsid w:val="1E6749DE"/>
    <w:rsid w:val="1E6908EA"/>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EF1268E"/>
    <w:rsid w:val="1F1156A1"/>
    <w:rsid w:val="1F1B5A46"/>
    <w:rsid w:val="1F1C70F6"/>
    <w:rsid w:val="1F387CC5"/>
    <w:rsid w:val="1F3A5DE3"/>
    <w:rsid w:val="1F3C79A6"/>
    <w:rsid w:val="1F462175"/>
    <w:rsid w:val="1F486F19"/>
    <w:rsid w:val="1F4E18A1"/>
    <w:rsid w:val="1F620C94"/>
    <w:rsid w:val="1F7F3C36"/>
    <w:rsid w:val="1F83778A"/>
    <w:rsid w:val="1F847178"/>
    <w:rsid w:val="1F866AA4"/>
    <w:rsid w:val="1F9B5504"/>
    <w:rsid w:val="1FAF6312"/>
    <w:rsid w:val="1FB36414"/>
    <w:rsid w:val="1FB57A6F"/>
    <w:rsid w:val="1FBA17DF"/>
    <w:rsid w:val="1FBC1E97"/>
    <w:rsid w:val="1FBF4C52"/>
    <w:rsid w:val="1FC6682A"/>
    <w:rsid w:val="1FCA7B6D"/>
    <w:rsid w:val="1FD534DD"/>
    <w:rsid w:val="1FE75529"/>
    <w:rsid w:val="1FFE5062"/>
    <w:rsid w:val="20081BE8"/>
    <w:rsid w:val="201C6624"/>
    <w:rsid w:val="20282875"/>
    <w:rsid w:val="203D0348"/>
    <w:rsid w:val="203D3513"/>
    <w:rsid w:val="205B1136"/>
    <w:rsid w:val="205D0BA3"/>
    <w:rsid w:val="206C6470"/>
    <w:rsid w:val="207E2B34"/>
    <w:rsid w:val="20813CE9"/>
    <w:rsid w:val="20871E4F"/>
    <w:rsid w:val="208A073D"/>
    <w:rsid w:val="208A24C4"/>
    <w:rsid w:val="20A4717C"/>
    <w:rsid w:val="20A73165"/>
    <w:rsid w:val="20AF260D"/>
    <w:rsid w:val="20D44015"/>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47E8"/>
    <w:rsid w:val="23BD6BB5"/>
    <w:rsid w:val="23CE11F0"/>
    <w:rsid w:val="23DD3E8B"/>
    <w:rsid w:val="23FC7B0B"/>
    <w:rsid w:val="24023F4F"/>
    <w:rsid w:val="24092446"/>
    <w:rsid w:val="240C6891"/>
    <w:rsid w:val="240D1D18"/>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6FE3B9A"/>
    <w:rsid w:val="270252AB"/>
    <w:rsid w:val="272862A8"/>
    <w:rsid w:val="272B2C75"/>
    <w:rsid w:val="272E4DF2"/>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39369B"/>
    <w:rsid w:val="28515C66"/>
    <w:rsid w:val="28710B8D"/>
    <w:rsid w:val="287C39E8"/>
    <w:rsid w:val="28886CF0"/>
    <w:rsid w:val="28993D84"/>
    <w:rsid w:val="28AE6F4B"/>
    <w:rsid w:val="28B53072"/>
    <w:rsid w:val="28C36E49"/>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A059AB"/>
    <w:rsid w:val="2DCF5A8A"/>
    <w:rsid w:val="2DF55A4A"/>
    <w:rsid w:val="2E104C52"/>
    <w:rsid w:val="2E1F416F"/>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AF0127"/>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D065A7"/>
    <w:rsid w:val="30EF538F"/>
    <w:rsid w:val="30F0569E"/>
    <w:rsid w:val="30FD3ADB"/>
    <w:rsid w:val="31012085"/>
    <w:rsid w:val="310E0902"/>
    <w:rsid w:val="3155474A"/>
    <w:rsid w:val="31557EF6"/>
    <w:rsid w:val="3166685F"/>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87995"/>
    <w:rsid w:val="32DA2B7B"/>
    <w:rsid w:val="32DC1587"/>
    <w:rsid w:val="32F55CEE"/>
    <w:rsid w:val="330013F5"/>
    <w:rsid w:val="33156F61"/>
    <w:rsid w:val="33205610"/>
    <w:rsid w:val="333B4E3A"/>
    <w:rsid w:val="334B47F8"/>
    <w:rsid w:val="336206BF"/>
    <w:rsid w:val="336C2E61"/>
    <w:rsid w:val="3376683A"/>
    <w:rsid w:val="3393554C"/>
    <w:rsid w:val="33B2468A"/>
    <w:rsid w:val="33B61249"/>
    <w:rsid w:val="33BC6115"/>
    <w:rsid w:val="33E41040"/>
    <w:rsid w:val="34082D21"/>
    <w:rsid w:val="34145437"/>
    <w:rsid w:val="341E30A2"/>
    <w:rsid w:val="342A7861"/>
    <w:rsid w:val="343316F0"/>
    <w:rsid w:val="344C1FE1"/>
    <w:rsid w:val="34511096"/>
    <w:rsid w:val="345151A5"/>
    <w:rsid w:val="3457590D"/>
    <w:rsid w:val="3461611B"/>
    <w:rsid w:val="34672553"/>
    <w:rsid w:val="346C2A8B"/>
    <w:rsid w:val="347179B0"/>
    <w:rsid w:val="3478432C"/>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93C86"/>
    <w:rsid w:val="363C0EAC"/>
    <w:rsid w:val="365A6ADC"/>
    <w:rsid w:val="3684230E"/>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9300E"/>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EC5329"/>
    <w:rsid w:val="3AF64521"/>
    <w:rsid w:val="3B084335"/>
    <w:rsid w:val="3B1161BF"/>
    <w:rsid w:val="3B196E45"/>
    <w:rsid w:val="3B1D4814"/>
    <w:rsid w:val="3B205783"/>
    <w:rsid w:val="3B4A3E57"/>
    <w:rsid w:val="3B5342C6"/>
    <w:rsid w:val="3B545B73"/>
    <w:rsid w:val="3B561D9F"/>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92CC0"/>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C766E1"/>
    <w:rsid w:val="3DD30320"/>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822805"/>
    <w:rsid w:val="40984DCB"/>
    <w:rsid w:val="409930E1"/>
    <w:rsid w:val="40C616F1"/>
    <w:rsid w:val="40DE261A"/>
    <w:rsid w:val="40F96444"/>
    <w:rsid w:val="41042E03"/>
    <w:rsid w:val="410521C5"/>
    <w:rsid w:val="41175D9B"/>
    <w:rsid w:val="413D42C0"/>
    <w:rsid w:val="41413D75"/>
    <w:rsid w:val="41416801"/>
    <w:rsid w:val="414326C1"/>
    <w:rsid w:val="414674F6"/>
    <w:rsid w:val="415648A7"/>
    <w:rsid w:val="41640B62"/>
    <w:rsid w:val="41675FC2"/>
    <w:rsid w:val="41686B44"/>
    <w:rsid w:val="41737C94"/>
    <w:rsid w:val="4181104A"/>
    <w:rsid w:val="41911043"/>
    <w:rsid w:val="41A84F3E"/>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2F07C8B"/>
    <w:rsid w:val="43023510"/>
    <w:rsid w:val="4316250C"/>
    <w:rsid w:val="431E3BE6"/>
    <w:rsid w:val="431F00A2"/>
    <w:rsid w:val="432623B5"/>
    <w:rsid w:val="434545E6"/>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03033"/>
    <w:rsid w:val="46077498"/>
    <w:rsid w:val="460C1647"/>
    <w:rsid w:val="46235B8D"/>
    <w:rsid w:val="463A04A9"/>
    <w:rsid w:val="463A38B1"/>
    <w:rsid w:val="463C6856"/>
    <w:rsid w:val="463D3D10"/>
    <w:rsid w:val="464F16AB"/>
    <w:rsid w:val="46631CF3"/>
    <w:rsid w:val="466B531B"/>
    <w:rsid w:val="46754E9D"/>
    <w:rsid w:val="4686104B"/>
    <w:rsid w:val="4689127A"/>
    <w:rsid w:val="4694726B"/>
    <w:rsid w:val="46A02F48"/>
    <w:rsid w:val="46F97522"/>
    <w:rsid w:val="470B140E"/>
    <w:rsid w:val="470F5CA5"/>
    <w:rsid w:val="47180927"/>
    <w:rsid w:val="471A118F"/>
    <w:rsid w:val="4721392D"/>
    <w:rsid w:val="47221468"/>
    <w:rsid w:val="472A46AD"/>
    <w:rsid w:val="472E37AA"/>
    <w:rsid w:val="4734155A"/>
    <w:rsid w:val="4736669E"/>
    <w:rsid w:val="473939F9"/>
    <w:rsid w:val="47570EA0"/>
    <w:rsid w:val="476104DF"/>
    <w:rsid w:val="477A267B"/>
    <w:rsid w:val="47A9060E"/>
    <w:rsid w:val="47CF7161"/>
    <w:rsid w:val="48054BA6"/>
    <w:rsid w:val="481C1BDB"/>
    <w:rsid w:val="484B76E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117C1C"/>
    <w:rsid w:val="4C133000"/>
    <w:rsid w:val="4C1C049B"/>
    <w:rsid w:val="4C1C757E"/>
    <w:rsid w:val="4C22014A"/>
    <w:rsid w:val="4C2503E1"/>
    <w:rsid w:val="4C3C28EB"/>
    <w:rsid w:val="4C49621B"/>
    <w:rsid w:val="4C497F3A"/>
    <w:rsid w:val="4C4A3078"/>
    <w:rsid w:val="4C5355BD"/>
    <w:rsid w:val="4C5C4D3B"/>
    <w:rsid w:val="4C5D4892"/>
    <w:rsid w:val="4C6E5A73"/>
    <w:rsid w:val="4C733632"/>
    <w:rsid w:val="4C997527"/>
    <w:rsid w:val="4C9B6649"/>
    <w:rsid w:val="4CA77655"/>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996CFA"/>
    <w:rsid w:val="4DA20356"/>
    <w:rsid w:val="4DA449A8"/>
    <w:rsid w:val="4DAA608A"/>
    <w:rsid w:val="4DB668DD"/>
    <w:rsid w:val="4DC85C63"/>
    <w:rsid w:val="4DE4037E"/>
    <w:rsid w:val="4DED7D27"/>
    <w:rsid w:val="4E0522B3"/>
    <w:rsid w:val="4E071DBA"/>
    <w:rsid w:val="4E186C4C"/>
    <w:rsid w:val="4E265F89"/>
    <w:rsid w:val="4E446A54"/>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5F0DCA"/>
    <w:rsid w:val="4F6E4BA9"/>
    <w:rsid w:val="4F6E672B"/>
    <w:rsid w:val="4F766AE8"/>
    <w:rsid w:val="4F8545A9"/>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B25F0"/>
    <w:rsid w:val="508F712D"/>
    <w:rsid w:val="50906FFE"/>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605F5E"/>
    <w:rsid w:val="516507DA"/>
    <w:rsid w:val="51676CFC"/>
    <w:rsid w:val="51823A6E"/>
    <w:rsid w:val="518568D0"/>
    <w:rsid w:val="51956D25"/>
    <w:rsid w:val="519F64FA"/>
    <w:rsid w:val="51A65507"/>
    <w:rsid w:val="51AF734D"/>
    <w:rsid w:val="51B84D67"/>
    <w:rsid w:val="51C61C99"/>
    <w:rsid w:val="51C84D2B"/>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002E"/>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47996"/>
    <w:rsid w:val="55BF1D02"/>
    <w:rsid w:val="55C31BBF"/>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C859FE"/>
    <w:rsid w:val="57DA12C4"/>
    <w:rsid w:val="57E93E02"/>
    <w:rsid w:val="57EE261E"/>
    <w:rsid w:val="57F73C83"/>
    <w:rsid w:val="580659D8"/>
    <w:rsid w:val="58106479"/>
    <w:rsid w:val="58156B21"/>
    <w:rsid w:val="58426171"/>
    <w:rsid w:val="58496ABB"/>
    <w:rsid w:val="585D1CCA"/>
    <w:rsid w:val="58765049"/>
    <w:rsid w:val="58910C97"/>
    <w:rsid w:val="58A438B2"/>
    <w:rsid w:val="58AC3792"/>
    <w:rsid w:val="58B46F84"/>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447835"/>
    <w:rsid w:val="5B520350"/>
    <w:rsid w:val="5B527CDE"/>
    <w:rsid w:val="5B57504B"/>
    <w:rsid w:val="5B6D4CB2"/>
    <w:rsid w:val="5B7A276E"/>
    <w:rsid w:val="5B7B231B"/>
    <w:rsid w:val="5B7B79EF"/>
    <w:rsid w:val="5B7C479C"/>
    <w:rsid w:val="5BB8301C"/>
    <w:rsid w:val="5BBD01D1"/>
    <w:rsid w:val="5BC76D82"/>
    <w:rsid w:val="5BEE17F5"/>
    <w:rsid w:val="5BF379E1"/>
    <w:rsid w:val="5C3213E7"/>
    <w:rsid w:val="5C3C78D5"/>
    <w:rsid w:val="5C3E7E01"/>
    <w:rsid w:val="5C5D50C6"/>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C1F4F"/>
    <w:rsid w:val="5D972CA7"/>
    <w:rsid w:val="5D991259"/>
    <w:rsid w:val="5D9C1C76"/>
    <w:rsid w:val="5D9D3100"/>
    <w:rsid w:val="5DA47495"/>
    <w:rsid w:val="5DA53020"/>
    <w:rsid w:val="5DA641F8"/>
    <w:rsid w:val="5DB46785"/>
    <w:rsid w:val="5DC46278"/>
    <w:rsid w:val="5DC82230"/>
    <w:rsid w:val="5DD17CBF"/>
    <w:rsid w:val="5DDD5343"/>
    <w:rsid w:val="5DDF5777"/>
    <w:rsid w:val="5E1216FE"/>
    <w:rsid w:val="5E1E563B"/>
    <w:rsid w:val="5E227B93"/>
    <w:rsid w:val="5E3235A6"/>
    <w:rsid w:val="5E326B06"/>
    <w:rsid w:val="5E392860"/>
    <w:rsid w:val="5E3A4342"/>
    <w:rsid w:val="5E4E77EE"/>
    <w:rsid w:val="5E57699D"/>
    <w:rsid w:val="5E595632"/>
    <w:rsid w:val="5E5B30A5"/>
    <w:rsid w:val="5E6C3138"/>
    <w:rsid w:val="5E7D0AFD"/>
    <w:rsid w:val="5E814DDF"/>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330171"/>
    <w:rsid w:val="60471B32"/>
    <w:rsid w:val="607246D5"/>
    <w:rsid w:val="60830691"/>
    <w:rsid w:val="608F49F6"/>
    <w:rsid w:val="60965368"/>
    <w:rsid w:val="609A0CA0"/>
    <w:rsid w:val="60AB4C02"/>
    <w:rsid w:val="60B2400F"/>
    <w:rsid w:val="60C9038E"/>
    <w:rsid w:val="60CF09F1"/>
    <w:rsid w:val="60E159FB"/>
    <w:rsid w:val="60FD76CB"/>
    <w:rsid w:val="61103F72"/>
    <w:rsid w:val="6118527D"/>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4A0DD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65349E"/>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B0800"/>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386F5E"/>
    <w:rsid w:val="6E405E13"/>
    <w:rsid w:val="6E500F9B"/>
    <w:rsid w:val="6E570135"/>
    <w:rsid w:val="6E685ECF"/>
    <w:rsid w:val="6E834D82"/>
    <w:rsid w:val="6E8A7FFF"/>
    <w:rsid w:val="6EA51532"/>
    <w:rsid w:val="6EA84236"/>
    <w:rsid w:val="6EAF64FA"/>
    <w:rsid w:val="6EB05DDB"/>
    <w:rsid w:val="6EB73D6D"/>
    <w:rsid w:val="6EBD2470"/>
    <w:rsid w:val="6EBF2436"/>
    <w:rsid w:val="6ECB392F"/>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3E6D44"/>
    <w:rsid w:val="72490512"/>
    <w:rsid w:val="726912FF"/>
    <w:rsid w:val="72767D16"/>
    <w:rsid w:val="72857B98"/>
    <w:rsid w:val="729E435F"/>
    <w:rsid w:val="72AA445D"/>
    <w:rsid w:val="72AA4A4F"/>
    <w:rsid w:val="72AD18C2"/>
    <w:rsid w:val="72CD5498"/>
    <w:rsid w:val="72D2061C"/>
    <w:rsid w:val="72D773DB"/>
    <w:rsid w:val="72F50636"/>
    <w:rsid w:val="72F9428D"/>
    <w:rsid w:val="72FB4824"/>
    <w:rsid w:val="73065AD1"/>
    <w:rsid w:val="73075CD7"/>
    <w:rsid w:val="7309250F"/>
    <w:rsid w:val="73217FC1"/>
    <w:rsid w:val="73335756"/>
    <w:rsid w:val="73357EF7"/>
    <w:rsid w:val="73474A08"/>
    <w:rsid w:val="73537D29"/>
    <w:rsid w:val="735C607F"/>
    <w:rsid w:val="73656CBC"/>
    <w:rsid w:val="73EA6D0D"/>
    <w:rsid w:val="73F13500"/>
    <w:rsid w:val="73F639E2"/>
    <w:rsid w:val="740D086A"/>
    <w:rsid w:val="740D1967"/>
    <w:rsid w:val="741A5A65"/>
    <w:rsid w:val="741B0EB4"/>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93397"/>
    <w:rsid w:val="761F1AC7"/>
    <w:rsid w:val="76280086"/>
    <w:rsid w:val="762D187D"/>
    <w:rsid w:val="763F7FFD"/>
    <w:rsid w:val="76423C14"/>
    <w:rsid w:val="76520C79"/>
    <w:rsid w:val="76654669"/>
    <w:rsid w:val="766B41BF"/>
    <w:rsid w:val="766F51BD"/>
    <w:rsid w:val="76893332"/>
    <w:rsid w:val="76905E20"/>
    <w:rsid w:val="769F6FB4"/>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571D"/>
    <w:rsid w:val="776975B8"/>
    <w:rsid w:val="77BD2B66"/>
    <w:rsid w:val="77C65DC6"/>
    <w:rsid w:val="77D5096D"/>
    <w:rsid w:val="77E20746"/>
    <w:rsid w:val="77E51E93"/>
    <w:rsid w:val="77E872FF"/>
    <w:rsid w:val="77FD48B1"/>
    <w:rsid w:val="780D467F"/>
    <w:rsid w:val="781439A3"/>
    <w:rsid w:val="781A08BD"/>
    <w:rsid w:val="781C40E3"/>
    <w:rsid w:val="7827536B"/>
    <w:rsid w:val="78365AA8"/>
    <w:rsid w:val="783E3BF3"/>
    <w:rsid w:val="7840017E"/>
    <w:rsid w:val="784032B8"/>
    <w:rsid w:val="786A615E"/>
    <w:rsid w:val="786D5A56"/>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7516A"/>
    <w:rsid w:val="7D691EDF"/>
    <w:rsid w:val="7D881BB2"/>
    <w:rsid w:val="7D8A73EF"/>
    <w:rsid w:val="7D8D460D"/>
    <w:rsid w:val="7D8F3826"/>
    <w:rsid w:val="7D9F2B56"/>
    <w:rsid w:val="7DA45409"/>
    <w:rsid w:val="7DA618E9"/>
    <w:rsid w:val="7DB673F6"/>
    <w:rsid w:val="7DBC673D"/>
    <w:rsid w:val="7DD10836"/>
    <w:rsid w:val="7DD37BA9"/>
    <w:rsid w:val="7DD41044"/>
    <w:rsid w:val="7DEE2852"/>
    <w:rsid w:val="7DF03EB5"/>
    <w:rsid w:val="7DF373ED"/>
    <w:rsid w:val="7E062BD5"/>
    <w:rsid w:val="7E0632BA"/>
    <w:rsid w:val="7E1150D6"/>
    <w:rsid w:val="7E1C4B16"/>
    <w:rsid w:val="7E2166FA"/>
    <w:rsid w:val="7E236027"/>
    <w:rsid w:val="7E304849"/>
    <w:rsid w:val="7E36093C"/>
    <w:rsid w:val="7E386998"/>
    <w:rsid w:val="7E5F4093"/>
    <w:rsid w:val="7E60376D"/>
    <w:rsid w:val="7E735DAC"/>
    <w:rsid w:val="7E821BD9"/>
    <w:rsid w:val="7E8D3E0D"/>
    <w:rsid w:val="7E97056D"/>
    <w:rsid w:val="7EB31421"/>
    <w:rsid w:val="7ECC1F09"/>
    <w:rsid w:val="7ECC7591"/>
    <w:rsid w:val="7ED50625"/>
    <w:rsid w:val="7ED74C43"/>
    <w:rsid w:val="7EF84021"/>
    <w:rsid w:val="7F0A2AFA"/>
    <w:rsid w:val="7F295064"/>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0"/>
    <w:pPr>
      <w:widowControl w:val="0"/>
      <w:spacing w:after="120"/>
      <w:ind w:left="420" w:leftChars="200" w:firstLine="420" w:firstLineChars="200"/>
      <w:jc w:val="both"/>
    </w:pPr>
    <w:rPr>
      <w:rFonts w:ascii="Times New Roman" w:hAnsi="Times New Roman" w:cs="Times New Roman"/>
      <w:kern w:val="2"/>
      <w:sz w:val="21"/>
    </w:rPr>
  </w:style>
  <w:style w:type="paragraph" w:styleId="3">
    <w:name w:val="Body Text Indent"/>
    <w:basedOn w:val="1"/>
    <w:link w:val="36"/>
    <w:qFormat/>
    <w:uiPriority w:val="0"/>
    <w:pPr>
      <w:widowControl/>
      <w:jc w:val="left"/>
    </w:pPr>
    <w:rPr>
      <w:rFonts w:ascii="宋体" w:hAnsi="宋体" w:cs="宋体"/>
      <w:kern w:val="0"/>
      <w:sz w:val="24"/>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link w:val="34"/>
    <w:qFormat/>
    <w:uiPriority w:val="0"/>
    <w:pPr>
      <w:spacing w:after="120"/>
    </w:pPr>
  </w:style>
  <w:style w:type="paragraph" w:styleId="14">
    <w:name w:val="Plain Text"/>
    <w:basedOn w:val="1"/>
    <w:link w:val="37"/>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3"/>
    <w:qFormat/>
    <w:uiPriority w:val="0"/>
    <w:rPr>
      <w:sz w:val="18"/>
      <w:szCs w:val="18"/>
    </w:rPr>
  </w:style>
  <w:style w:type="paragraph" w:styleId="18">
    <w:name w:val="footer"/>
    <w:basedOn w:val="1"/>
    <w:link w:val="32"/>
    <w:qFormat/>
    <w:uiPriority w:val="0"/>
    <w:pPr>
      <w:tabs>
        <w:tab w:val="center" w:pos="4153"/>
        <w:tab w:val="right" w:pos="8306"/>
      </w:tabs>
      <w:snapToGrid w:val="0"/>
      <w:jc w:val="left"/>
    </w:pPr>
    <w:rPr>
      <w:sz w:val="18"/>
      <w:szCs w:val="18"/>
    </w:rPr>
  </w:style>
  <w:style w:type="paragraph" w:styleId="19">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Emphasis"/>
    <w:basedOn w:val="26"/>
    <w:qFormat/>
    <w:uiPriority w:val="20"/>
    <w:rPr>
      <w:color w:val="CC0000"/>
      <w:sz w:val="24"/>
      <w:szCs w:val="24"/>
    </w:rPr>
  </w:style>
  <w:style w:type="character" w:styleId="29">
    <w:name w:val="Hyperlink"/>
    <w:qFormat/>
    <w:uiPriority w:val="99"/>
    <w:rPr>
      <w:color w:val="000000"/>
      <w:u w:val="none"/>
    </w:rPr>
  </w:style>
  <w:style w:type="character" w:customStyle="1" w:styleId="30">
    <w:name w:val="页眉 Char"/>
    <w:basedOn w:val="26"/>
    <w:link w:val="19"/>
    <w:qFormat/>
    <w:uiPriority w:val="99"/>
    <w:rPr>
      <w:kern w:val="2"/>
      <w:sz w:val="18"/>
      <w:szCs w:val="18"/>
    </w:rPr>
  </w:style>
  <w:style w:type="character" w:customStyle="1" w:styleId="31">
    <w:name w:val="so-ask-best"/>
    <w:basedOn w:val="26"/>
    <w:qFormat/>
    <w:uiPriority w:val="0"/>
  </w:style>
  <w:style w:type="character" w:customStyle="1" w:styleId="32">
    <w:name w:val="页脚 Char"/>
    <w:basedOn w:val="26"/>
    <w:link w:val="18"/>
    <w:qFormat/>
    <w:uiPriority w:val="99"/>
    <w:rPr>
      <w:kern w:val="2"/>
      <w:sz w:val="18"/>
      <w:szCs w:val="18"/>
    </w:rPr>
  </w:style>
  <w:style w:type="character" w:customStyle="1" w:styleId="33">
    <w:name w:val="批注框文本 Char"/>
    <w:basedOn w:val="26"/>
    <w:link w:val="17"/>
    <w:qFormat/>
    <w:uiPriority w:val="0"/>
    <w:rPr>
      <w:kern w:val="2"/>
      <w:sz w:val="18"/>
      <w:szCs w:val="18"/>
    </w:rPr>
  </w:style>
  <w:style w:type="character" w:customStyle="1" w:styleId="34">
    <w:name w:val="正文文本 Char"/>
    <w:basedOn w:val="26"/>
    <w:link w:val="13"/>
    <w:qFormat/>
    <w:uiPriority w:val="0"/>
    <w:rPr>
      <w:kern w:val="2"/>
      <w:sz w:val="21"/>
      <w:szCs w:val="24"/>
    </w:rPr>
  </w:style>
  <w:style w:type="character" w:customStyle="1" w:styleId="35">
    <w:name w:val="正文首行缩进 2 Char"/>
    <w:basedOn w:val="36"/>
    <w:link w:val="2"/>
    <w:qFormat/>
    <w:uiPriority w:val="0"/>
  </w:style>
  <w:style w:type="character" w:customStyle="1" w:styleId="36">
    <w:name w:val="正文文本缩进 Char"/>
    <w:basedOn w:val="26"/>
    <w:link w:val="3"/>
    <w:qFormat/>
    <w:uiPriority w:val="0"/>
    <w:rPr>
      <w:rFonts w:ascii="宋体" w:hAnsi="宋体" w:cs="宋体"/>
      <w:sz w:val="24"/>
      <w:szCs w:val="24"/>
    </w:rPr>
  </w:style>
  <w:style w:type="character" w:customStyle="1" w:styleId="37">
    <w:name w:val="纯文本 Char"/>
    <w:link w:val="14"/>
    <w:qFormat/>
    <w:uiPriority w:val="0"/>
    <w:rPr>
      <w:rFonts w:ascii="宋体" w:hAnsi="Courier New" w:cs="宋体"/>
      <w:sz w:val="21"/>
      <w:szCs w:val="21"/>
    </w:rPr>
  </w:style>
  <w:style w:type="character" w:customStyle="1" w:styleId="38">
    <w:name w:val="副标题 Char"/>
    <w:basedOn w:val="26"/>
    <w:link w:val="21"/>
    <w:qFormat/>
    <w:uiPriority w:val="11"/>
    <w:rPr>
      <w:rFonts w:ascii="Cambria" w:hAnsi="Cambria"/>
      <w:b/>
      <w:bCs/>
      <w:kern w:val="28"/>
      <w:sz w:val="32"/>
      <w:szCs w:val="32"/>
    </w:rPr>
  </w:style>
  <w:style w:type="paragraph" w:customStyle="1" w:styleId="39">
    <w:name w:val="正文文本缩进 New"/>
    <w:basedOn w:val="1"/>
    <w:qFormat/>
    <w:uiPriority w:val="0"/>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blockquote"/>
    <w:basedOn w:val="1"/>
    <w:qFormat/>
    <w:uiPriority w:val="0"/>
    <w:pPr>
      <w:widowControl/>
      <w:jc w:val="left"/>
    </w:pPr>
    <w:rPr>
      <w:rFonts w:ascii="宋体" w:hAnsi="宋体" w:cs="宋体"/>
      <w:kern w:val="0"/>
      <w:sz w:val="24"/>
    </w:rPr>
  </w:style>
  <w:style w:type="paragraph" w:customStyle="1" w:styleId="4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3">
    <w:name w:val="默认段落字体 Para Char"/>
    <w:basedOn w:val="1"/>
    <w:qFormat/>
    <w:uiPriority w:val="0"/>
    <w:pPr>
      <w:adjustRightInd w:val="0"/>
      <w:spacing w:line="360" w:lineRule="auto"/>
    </w:pPr>
    <w:rPr>
      <w:kern w:val="0"/>
      <w:sz w:val="24"/>
      <w:szCs w:val="20"/>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列出段落1"/>
    <w:basedOn w:val="1"/>
    <w:qFormat/>
    <w:uiPriority w:val="34"/>
    <w:pPr>
      <w:ind w:firstLine="200" w:firstLineChars="200"/>
    </w:pPr>
    <w:rPr>
      <w:szCs w:val="20"/>
    </w:rPr>
  </w:style>
  <w:style w:type="character" w:customStyle="1" w:styleId="47">
    <w:name w:val="NormalCharacter"/>
    <w:semiHidden/>
    <w:qFormat/>
    <w:uiPriority w:val="0"/>
  </w:style>
  <w:style w:type="character" w:customStyle="1" w:styleId="48">
    <w:name w:val="font21"/>
    <w:basedOn w:val="2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7347</Words>
  <Characters>7898</Characters>
  <Lines>52</Lines>
  <Paragraphs>14</Paragraphs>
  <TotalTime>10</TotalTime>
  <ScaleCrop>false</ScaleCrop>
  <LinksUpToDate>false</LinksUpToDate>
  <CharactersWithSpaces>8784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COFCOTUNHE\qinyg</dc:creator>
  <cp:lastModifiedBy>lenovo</cp:lastModifiedBy>
  <cp:lastPrinted>2015-02-02T00:44:00Z</cp:lastPrinted>
  <dcterms:modified xsi:type="dcterms:W3CDTF">2022-11-26T04:04:06Z</dcterms:modified>
  <dc:title>新干县工业园河西片区A-2、A-7、A-9、A-11区块土方工程,经有关部门立项,现决定对该项目施工进行公开招标,现就有关情况公告如下: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commondata">
    <vt:lpwstr>eyJoZGlkIjoiZGM0ZmMyMTBhNWI2MWJhMDk2MmNhYTY1NGUxZjZmN2EifQ==</vt:lpwstr>
  </property>
  <property fmtid="{D5CDD505-2E9C-101B-9397-08002B2CF9AE}" pid="4" name="ICV">
    <vt:lpwstr>A317CE86739742939AAED291AA30989A</vt:lpwstr>
  </property>
</Properties>
</file>