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861E">
      <w:pPr>
        <w:spacing w:line="400" w:lineRule="exact"/>
        <w:jc w:val="center"/>
        <w:rPr>
          <w:color w:val="auto"/>
          <w:sz w:val="32"/>
          <w:szCs w:val="32"/>
          <w:highlight w:val="none"/>
        </w:rPr>
      </w:pPr>
    </w:p>
    <w:p w14:paraId="117AB509">
      <w:pPr>
        <w:spacing w:before="159" w:beforeLines="50"/>
        <w:jc w:val="center"/>
        <w:rPr>
          <w:color w:val="auto"/>
          <w:spacing w:val="-10"/>
          <w:sz w:val="72"/>
          <w:szCs w:val="72"/>
          <w:highlight w:val="none"/>
        </w:rPr>
      </w:pPr>
    </w:p>
    <w:p w14:paraId="22F12872">
      <w:pPr>
        <w:tabs>
          <w:tab w:val="left" w:pos="8400"/>
        </w:tabs>
        <w:spacing w:before="159" w:beforeLines="50"/>
        <w:jc w:val="center"/>
        <w:rPr>
          <w:color w:val="auto"/>
          <w:sz w:val="72"/>
          <w:szCs w:val="72"/>
          <w:highlight w:val="none"/>
        </w:rPr>
      </w:pPr>
      <w:r>
        <w:rPr>
          <w:color w:val="auto"/>
          <w:sz w:val="72"/>
          <w:szCs w:val="72"/>
          <w:highlight w:val="none"/>
        </w:rPr>
        <w:t>竞争性磋商文件</w:t>
      </w:r>
    </w:p>
    <w:p w14:paraId="0457B029">
      <w:pPr>
        <w:snapToGrid w:val="0"/>
        <w:spacing w:before="159" w:beforeLines="50" w:line="360" w:lineRule="auto"/>
        <w:rPr>
          <w:color w:val="auto"/>
          <w:sz w:val="30"/>
          <w:szCs w:val="72"/>
          <w:highlight w:val="none"/>
        </w:rPr>
      </w:pPr>
    </w:p>
    <w:p w14:paraId="53790083">
      <w:pPr>
        <w:snapToGrid w:val="0"/>
        <w:spacing w:before="159" w:beforeLines="50" w:line="360" w:lineRule="auto"/>
        <w:jc w:val="center"/>
        <w:rPr>
          <w:color w:val="auto"/>
          <w:sz w:val="30"/>
          <w:szCs w:val="72"/>
          <w:highlight w:val="none"/>
        </w:rPr>
      </w:pPr>
    </w:p>
    <w:p w14:paraId="44B8E839">
      <w:pPr>
        <w:snapToGrid w:val="0"/>
        <w:spacing w:before="159" w:beforeLines="50" w:line="360" w:lineRule="auto"/>
        <w:rPr>
          <w:color w:val="auto"/>
          <w:sz w:val="30"/>
          <w:szCs w:val="72"/>
          <w:highlight w:val="none"/>
        </w:rPr>
      </w:pPr>
    </w:p>
    <w:p w14:paraId="74C748E4">
      <w:pPr>
        <w:snapToGrid w:val="0"/>
        <w:spacing w:before="159" w:beforeLines="50" w:line="400" w:lineRule="exact"/>
        <w:ind w:left="2693" w:leftChars="568" w:hanging="1500" w:hangingChars="500"/>
        <w:rPr>
          <w:rFonts w:hint="eastAsia"/>
          <w:color w:val="auto"/>
          <w:sz w:val="30"/>
          <w:szCs w:val="72"/>
          <w:highlight w:val="none"/>
        </w:rPr>
      </w:pPr>
      <w:r>
        <w:rPr>
          <w:color w:val="auto"/>
          <w:sz w:val="30"/>
          <w:szCs w:val="72"/>
          <w:highlight w:val="none"/>
        </w:rPr>
        <w:t>项目名称：</w:t>
      </w:r>
      <w:r>
        <w:rPr>
          <w:rFonts w:hint="eastAsia" w:ascii="Times New Roman" w:hAnsi="Times New Roman" w:eastAsia="宋体" w:cs="Times New Roman"/>
          <w:color w:val="auto"/>
          <w:sz w:val="30"/>
          <w:szCs w:val="72"/>
          <w:highlight w:val="none"/>
          <w:lang w:val="en-US" w:eastAsia="zh-CN"/>
        </w:rPr>
        <w:t>新媒体代运营项目</w:t>
      </w:r>
    </w:p>
    <w:p w14:paraId="3651C1B6">
      <w:pPr>
        <w:snapToGrid w:val="0"/>
        <w:spacing w:before="159" w:beforeLines="50" w:line="360" w:lineRule="auto"/>
        <w:ind w:firstLine="1200" w:firstLineChars="400"/>
        <w:rPr>
          <w:rFonts w:hint="default" w:eastAsia="宋体"/>
          <w:color w:val="auto"/>
          <w:sz w:val="30"/>
          <w:szCs w:val="72"/>
          <w:highlight w:val="none"/>
          <w:lang w:val="en-US" w:eastAsia="zh-CN"/>
        </w:rPr>
      </w:pPr>
      <w:r>
        <w:rPr>
          <w:color w:val="auto"/>
          <w:sz w:val="30"/>
          <w:szCs w:val="72"/>
          <w:highlight w:val="none"/>
        </w:rPr>
        <w:t>采购单位：广西东博</w:t>
      </w:r>
      <w:r>
        <w:rPr>
          <w:rFonts w:hint="eastAsia"/>
          <w:color w:val="auto"/>
          <w:sz w:val="30"/>
          <w:szCs w:val="72"/>
          <w:highlight w:val="none"/>
          <w:lang w:val="en-US" w:eastAsia="zh-CN"/>
        </w:rPr>
        <w:t>国际经贸投资有限公司</w:t>
      </w:r>
    </w:p>
    <w:p w14:paraId="59BC2780">
      <w:pPr>
        <w:snapToGrid w:val="0"/>
        <w:spacing w:before="159" w:beforeLines="50" w:line="360" w:lineRule="auto"/>
        <w:ind w:firstLine="1080" w:firstLineChars="360"/>
        <w:rPr>
          <w:color w:val="auto"/>
          <w:sz w:val="30"/>
          <w:szCs w:val="72"/>
          <w:highlight w:val="none"/>
        </w:rPr>
      </w:pPr>
    </w:p>
    <w:p w14:paraId="7F9AD9F8">
      <w:pPr>
        <w:snapToGrid w:val="0"/>
        <w:spacing w:before="159" w:beforeLines="50" w:line="360" w:lineRule="auto"/>
        <w:ind w:firstLine="1080" w:firstLineChars="360"/>
        <w:rPr>
          <w:color w:val="auto"/>
          <w:sz w:val="30"/>
          <w:szCs w:val="72"/>
          <w:highlight w:val="none"/>
        </w:rPr>
      </w:pPr>
    </w:p>
    <w:p w14:paraId="5810B482">
      <w:pPr>
        <w:snapToGrid w:val="0"/>
        <w:spacing w:before="159" w:beforeLines="50" w:line="360" w:lineRule="auto"/>
        <w:ind w:firstLine="1080" w:firstLineChars="360"/>
        <w:rPr>
          <w:color w:val="auto"/>
          <w:sz w:val="30"/>
          <w:szCs w:val="72"/>
          <w:highlight w:val="none"/>
        </w:rPr>
      </w:pPr>
    </w:p>
    <w:p w14:paraId="0EB58E10">
      <w:pPr>
        <w:snapToGrid w:val="0"/>
        <w:spacing w:before="159" w:beforeLines="50" w:line="360" w:lineRule="auto"/>
        <w:ind w:firstLine="1080" w:firstLineChars="360"/>
        <w:rPr>
          <w:color w:val="auto"/>
          <w:sz w:val="30"/>
          <w:szCs w:val="72"/>
          <w:highlight w:val="none"/>
        </w:rPr>
      </w:pPr>
    </w:p>
    <w:p w14:paraId="1D968599">
      <w:pPr>
        <w:snapToGrid w:val="0"/>
        <w:spacing w:before="159" w:beforeLines="50" w:line="360" w:lineRule="auto"/>
        <w:jc w:val="center"/>
        <w:rPr>
          <w:rFonts w:hint="eastAsia"/>
          <w:color w:val="auto"/>
          <w:sz w:val="32"/>
          <w:szCs w:val="32"/>
          <w:highlight w:val="none"/>
        </w:rPr>
      </w:pPr>
      <w:r>
        <w:rPr>
          <w:rFonts w:hint="eastAsia"/>
          <w:color w:val="auto"/>
          <w:sz w:val="32"/>
          <w:szCs w:val="32"/>
          <w:highlight w:val="none"/>
        </w:rPr>
        <w:t>202</w:t>
      </w:r>
      <w:r>
        <w:rPr>
          <w:rFonts w:hint="eastAsia"/>
          <w:color w:val="auto"/>
          <w:sz w:val="32"/>
          <w:szCs w:val="32"/>
          <w:highlight w:val="none"/>
          <w:lang w:val="en-US" w:eastAsia="zh-CN"/>
        </w:rPr>
        <w:t>5</w:t>
      </w:r>
      <w:r>
        <w:rPr>
          <w:rFonts w:hint="eastAsia"/>
          <w:color w:val="auto"/>
          <w:sz w:val="32"/>
          <w:szCs w:val="32"/>
          <w:highlight w:val="none"/>
        </w:rPr>
        <w:t>年</w:t>
      </w:r>
      <w:r>
        <w:rPr>
          <w:rFonts w:hint="eastAsia"/>
          <w:color w:val="auto"/>
          <w:sz w:val="32"/>
          <w:szCs w:val="32"/>
          <w:highlight w:val="none"/>
          <w:lang w:val="en-US" w:eastAsia="zh-CN"/>
        </w:rPr>
        <w:t>6</w:t>
      </w:r>
      <w:r>
        <w:rPr>
          <w:rFonts w:hint="eastAsia"/>
          <w:color w:val="auto"/>
          <w:sz w:val="32"/>
          <w:szCs w:val="32"/>
          <w:highlight w:val="none"/>
        </w:rPr>
        <w:t>月</w:t>
      </w:r>
    </w:p>
    <w:p w14:paraId="3FC8217E">
      <w:pPr>
        <w:snapToGrid w:val="0"/>
        <w:spacing w:before="159" w:beforeLines="50" w:line="360" w:lineRule="auto"/>
        <w:rPr>
          <w:color w:val="auto"/>
          <w:sz w:val="30"/>
          <w:szCs w:val="72"/>
          <w:highlight w:val="none"/>
        </w:rPr>
      </w:pPr>
    </w:p>
    <w:p w14:paraId="08FA8076">
      <w:pPr>
        <w:pStyle w:val="23"/>
        <w:spacing w:before="120" w:after="120" w:line="360" w:lineRule="auto"/>
        <w:jc w:val="center"/>
        <w:rPr>
          <w:rFonts w:ascii="Times New Roman" w:hAnsi="Times New Roman" w:cs="Times New Roman"/>
          <w:color w:val="auto"/>
          <w:highlight w:val="none"/>
        </w:rPr>
      </w:pPr>
    </w:p>
    <w:p w14:paraId="1E8D105B">
      <w:pPr>
        <w:pStyle w:val="23"/>
        <w:spacing w:before="120" w:after="120" w:line="360" w:lineRule="auto"/>
        <w:jc w:val="center"/>
        <w:rPr>
          <w:rFonts w:ascii="Times New Roman" w:hAnsi="Times New Roman" w:cs="Times New Roman"/>
          <w:color w:val="auto"/>
          <w:highlight w:val="none"/>
        </w:rPr>
      </w:pPr>
    </w:p>
    <w:p w14:paraId="5633D8FD">
      <w:pPr>
        <w:spacing w:line="400" w:lineRule="exact"/>
        <w:jc w:val="center"/>
        <w:rPr>
          <w:color w:val="auto"/>
          <w:sz w:val="32"/>
          <w:szCs w:val="32"/>
          <w:highlight w:val="none"/>
        </w:rPr>
      </w:pPr>
    </w:p>
    <w:p w14:paraId="0A0E928A">
      <w:pPr>
        <w:jc w:val="center"/>
        <w:rPr>
          <w:color w:val="auto"/>
          <w:sz w:val="44"/>
          <w:szCs w:val="44"/>
          <w:highlight w:val="none"/>
        </w:rPr>
      </w:pPr>
    </w:p>
    <w:p w14:paraId="447BBF0A">
      <w:pPr>
        <w:jc w:val="center"/>
        <w:rPr>
          <w:color w:val="auto"/>
          <w:sz w:val="44"/>
          <w:szCs w:val="44"/>
          <w:highlight w:val="none"/>
        </w:rPr>
      </w:pPr>
    </w:p>
    <w:p w14:paraId="4DBF9AC7">
      <w:pPr>
        <w:jc w:val="center"/>
        <w:rPr>
          <w:color w:val="auto"/>
          <w:sz w:val="44"/>
          <w:szCs w:val="44"/>
          <w:highlight w:val="none"/>
        </w:rPr>
      </w:pPr>
    </w:p>
    <w:p w14:paraId="31BD56A8">
      <w:pPr>
        <w:jc w:val="center"/>
        <w:rPr>
          <w:color w:val="auto"/>
          <w:sz w:val="44"/>
          <w:szCs w:val="44"/>
          <w:highlight w:val="none"/>
        </w:rPr>
      </w:pPr>
    </w:p>
    <w:p w14:paraId="6B9EA2E7">
      <w:pPr>
        <w:jc w:val="center"/>
        <w:rPr>
          <w:color w:val="auto"/>
          <w:sz w:val="44"/>
          <w:szCs w:val="44"/>
          <w:highlight w:val="none"/>
        </w:rPr>
      </w:pPr>
    </w:p>
    <w:p w14:paraId="7482D998">
      <w:pPr>
        <w:jc w:val="center"/>
        <w:rPr>
          <w:color w:val="auto"/>
          <w:sz w:val="44"/>
          <w:szCs w:val="44"/>
          <w:highlight w:val="none"/>
        </w:rPr>
      </w:pPr>
      <w:r>
        <w:rPr>
          <w:color w:val="auto"/>
          <w:sz w:val="44"/>
          <w:szCs w:val="44"/>
          <w:highlight w:val="none"/>
        </w:rPr>
        <w:t>目   录</w:t>
      </w:r>
    </w:p>
    <w:p w14:paraId="3194CB4E">
      <w:pPr>
        <w:pStyle w:val="29"/>
        <w:tabs>
          <w:tab w:val="right" w:leader="dot" w:pos="9356"/>
        </w:tabs>
        <w:rPr>
          <w:highlight w:val="none"/>
        </w:rPr>
      </w:pPr>
      <w:r>
        <w:rPr>
          <w:color w:val="auto"/>
          <w:sz w:val="32"/>
          <w:szCs w:val="32"/>
          <w:highlight w:val="none"/>
        </w:rPr>
        <w:fldChar w:fldCharType="begin"/>
      </w:r>
      <w:r>
        <w:rPr>
          <w:color w:val="auto"/>
          <w:sz w:val="32"/>
          <w:szCs w:val="32"/>
          <w:highlight w:val="none"/>
        </w:rPr>
        <w:instrText xml:space="preserve"> TOC \o "1-1" \h \z \u </w:instrText>
      </w:r>
      <w:r>
        <w:rPr>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_Toc7022 </w:instrText>
      </w:r>
      <w:r>
        <w:rPr>
          <w:szCs w:val="32"/>
          <w:highlight w:val="none"/>
        </w:rPr>
        <w:fldChar w:fldCharType="separate"/>
      </w:r>
      <w:r>
        <w:rPr>
          <w:szCs w:val="20"/>
          <w:highlight w:val="none"/>
        </w:rPr>
        <w:t>第一章  竞争性磋商公告</w:t>
      </w:r>
      <w:r>
        <w:rPr>
          <w:highlight w:val="none"/>
        </w:rPr>
        <w:tab/>
      </w:r>
      <w:r>
        <w:rPr>
          <w:highlight w:val="none"/>
        </w:rPr>
        <w:fldChar w:fldCharType="begin"/>
      </w:r>
      <w:r>
        <w:rPr>
          <w:highlight w:val="none"/>
        </w:rPr>
        <w:instrText xml:space="preserve"> PAGEREF _Toc7022 \h </w:instrText>
      </w:r>
      <w:r>
        <w:rPr>
          <w:highlight w:val="none"/>
        </w:rPr>
        <w:fldChar w:fldCharType="separate"/>
      </w:r>
      <w:r>
        <w:rPr>
          <w:highlight w:val="none"/>
        </w:rPr>
        <w:t>3</w:t>
      </w:r>
      <w:r>
        <w:rPr>
          <w:highlight w:val="none"/>
        </w:rPr>
        <w:fldChar w:fldCharType="end"/>
      </w:r>
      <w:r>
        <w:rPr>
          <w:color w:val="auto"/>
          <w:szCs w:val="32"/>
          <w:highlight w:val="none"/>
        </w:rPr>
        <w:fldChar w:fldCharType="end"/>
      </w:r>
    </w:p>
    <w:p w14:paraId="12CAFD54">
      <w:pPr>
        <w:pStyle w:val="29"/>
        <w:tabs>
          <w:tab w:val="right" w:leader="dot" w:pos="9356"/>
        </w:tabs>
        <w:rPr>
          <w:highlight w:val="none"/>
        </w:rPr>
      </w:pPr>
      <w:r>
        <w:rPr>
          <w:color w:val="auto"/>
          <w:szCs w:val="32"/>
          <w:highlight w:val="none"/>
        </w:rPr>
        <w:fldChar w:fldCharType="begin"/>
      </w:r>
      <w:r>
        <w:rPr>
          <w:szCs w:val="32"/>
          <w:highlight w:val="none"/>
        </w:rPr>
        <w:instrText xml:space="preserve"> HYPERLINK \l _Toc10244 </w:instrText>
      </w:r>
      <w:r>
        <w:rPr>
          <w:szCs w:val="32"/>
          <w:highlight w:val="none"/>
        </w:rPr>
        <w:fldChar w:fldCharType="separate"/>
      </w:r>
      <w:r>
        <w:rPr>
          <w:highlight w:val="none"/>
        </w:rPr>
        <w:t>第二章  竞标人须知前附表</w:t>
      </w:r>
      <w:r>
        <w:rPr>
          <w:highlight w:val="none"/>
        </w:rPr>
        <w:tab/>
      </w:r>
      <w:r>
        <w:rPr>
          <w:highlight w:val="none"/>
        </w:rPr>
        <w:fldChar w:fldCharType="begin"/>
      </w:r>
      <w:r>
        <w:rPr>
          <w:highlight w:val="none"/>
        </w:rPr>
        <w:instrText xml:space="preserve"> PAGEREF _Toc10244 \h </w:instrText>
      </w:r>
      <w:r>
        <w:rPr>
          <w:highlight w:val="none"/>
        </w:rPr>
        <w:fldChar w:fldCharType="separate"/>
      </w:r>
      <w:r>
        <w:rPr>
          <w:highlight w:val="none"/>
        </w:rPr>
        <w:t>6</w:t>
      </w:r>
      <w:r>
        <w:rPr>
          <w:highlight w:val="none"/>
        </w:rPr>
        <w:fldChar w:fldCharType="end"/>
      </w:r>
      <w:r>
        <w:rPr>
          <w:color w:val="auto"/>
          <w:szCs w:val="32"/>
          <w:highlight w:val="none"/>
        </w:rPr>
        <w:fldChar w:fldCharType="end"/>
      </w:r>
    </w:p>
    <w:p w14:paraId="58D4005A">
      <w:pPr>
        <w:pStyle w:val="29"/>
        <w:tabs>
          <w:tab w:val="right" w:leader="dot" w:pos="9356"/>
        </w:tabs>
        <w:rPr>
          <w:highlight w:val="none"/>
        </w:rPr>
      </w:pPr>
      <w:r>
        <w:rPr>
          <w:color w:val="auto"/>
          <w:szCs w:val="32"/>
          <w:highlight w:val="none"/>
        </w:rPr>
        <w:fldChar w:fldCharType="begin"/>
      </w:r>
      <w:r>
        <w:rPr>
          <w:szCs w:val="32"/>
          <w:highlight w:val="none"/>
        </w:rPr>
        <w:instrText xml:space="preserve"> HYPERLINK \l _Toc26606 </w:instrText>
      </w:r>
      <w:r>
        <w:rPr>
          <w:szCs w:val="32"/>
          <w:highlight w:val="none"/>
        </w:rPr>
        <w:fldChar w:fldCharType="separate"/>
      </w:r>
      <w:r>
        <w:rPr>
          <w:bCs/>
          <w:szCs w:val="44"/>
          <w:highlight w:val="none"/>
        </w:rPr>
        <w:t>第三章  采购项目需求</w:t>
      </w:r>
      <w:r>
        <w:rPr>
          <w:highlight w:val="none"/>
        </w:rPr>
        <w:tab/>
      </w:r>
      <w:r>
        <w:rPr>
          <w:highlight w:val="none"/>
        </w:rPr>
        <w:fldChar w:fldCharType="begin"/>
      </w:r>
      <w:r>
        <w:rPr>
          <w:highlight w:val="none"/>
        </w:rPr>
        <w:instrText xml:space="preserve"> PAGEREF _Toc26606 \h </w:instrText>
      </w:r>
      <w:r>
        <w:rPr>
          <w:highlight w:val="none"/>
        </w:rPr>
        <w:fldChar w:fldCharType="separate"/>
      </w:r>
      <w:r>
        <w:rPr>
          <w:highlight w:val="none"/>
        </w:rPr>
        <w:t>13</w:t>
      </w:r>
      <w:r>
        <w:rPr>
          <w:highlight w:val="none"/>
        </w:rPr>
        <w:fldChar w:fldCharType="end"/>
      </w:r>
      <w:r>
        <w:rPr>
          <w:color w:val="auto"/>
          <w:szCs w:val="32"/>
          <w:highlight w:val="none"/>
        </w:rPr>
        <w:fldChar w:fldCharType="end"/>
      </w:r>
    </w:p>
    <w:p w14:paraId="2755FB9A">
      <w:pPr>
        <w:pStyle w:val="29"/>
        <w:tabs>
          <w:tab w:val="right" w:leader="dot" w:pos="9356"/>
        </w:tabs>
        <w:rPr>
          <w:highlight w:val="none"/>
        </w:rPr>
      </w:pPr>
      <w:r>
        <w:rPr>
          <w:color w:val="auto"/>
          <w:szCs w:val="32"/>
          <w:highlight w:val="none"/>
        </w:rPr>
        <w:fldChar w:fldCharType="begin"/>
      </w:r>
      <w:r>
        <w:rPr>
          <w:szCs w:val="32"/>
          <w:highlight w:val="none"/>
        </w:rPr>
        <w:instrText xml:space="preserve"> HYPERLINK \l _Toc8672 </w:instrText>
      </w:r>
      <w:r>
        <w:rPr>
          <w:szCs w:val="32"/>
          <w:highlight w:val="none"/>
        </w:rPr>
        <w:fldChar w:fldCharType="separate"/>
      </w:r>
      <w:r>
        <w:rPr>
          <w:bCs/>
          <w:szCs w:val="44"/>
          <w:highlight w:val="none"/>
        </w:rPr>
        <w:t>第四章  评审方法</w:t>
      </w:r>
      <w:r>
        <w:rPr>
          <w:highlight w:val="none"/>
        </w:rPr>
        <w:tab/>
      </w:r>
      <w:r>
        <w:rPr>
          <w:highlight w:val="none"/>
        </w:rPr>
        <w:fldChar w:fldCharType="begin"/>
      </w:r>
      <w:r>
        <w:rPr>
          <w:highlight w:val="none"/>
        </w:rPr>
        <w:instrText xml:space="preserve"> PAGEREF _Toc8672 \h </w:instrText>
      </w:r>
      <w:r>
        <w:rPr>
          <w:highlight w:val="none"/>
        </w:rPr>
        <w:fldChar w:fldCharType="separate"/>
      </w:r>
      <w:r>
        <w:rPr>
          <w:highlight w:val="none"/>
        </w:rPr>
        <w:t>13</w:t>
      </w:r>
      <w:r>
        <w:rPr>
          <w:highlight w:val="none"/>
        </w:rPr>
        <w:fldChar w:fldCharType="end"/>
      </w:r>
      <w:r>
        <w:rPr>
          <w:color w:val="auto"/>
          <w:szCs w:val="32"/>
          <w:highlight w:val="none"/>
        </w:rPr>
        <w:fldChar w:fldCharType="end"/>
      </w:r>
    </w:p>
    <w:p w14:paraId="0C9E5F24">
      <w:pPr>
        <w:pStyle w:val="29"/>
        <w:tabs>
          <w:tab w:val="right" w:leader="dot" w:pos="9356"/>
        </w:tabs>
        <w:rPr>
          <w:highlight w:val="none"/>
        </w:rPr>
      </w:pPr>
      <w:r>
        <w:rPr>
          <w:color w:val="auto"/>
          <w:szCs w:val="32"/>
          <w:highlight w:val="none"/>
        </w:rPr>
        <w:fldChar w:fldCharType="begin"/>
      </w:r>
      <w:r>
        <w:rPr>
          <w:szCs w:val="32"/>
          <w:highlight w:val="none"/>
        </w:rPr>
        <w:instrText xml:space="preserve"> HYPERLINK \l _Toc18156 </w:instrText>
      </w:r>
      <w:r>
        <w:rPr>
          <w:szCs w:val="32"/>
          <w:highlight w:val="none"/>
        </w:rPr>
        <w:fldChar w:fldCharType="separate"/>
      </w:r>
      <w:r>
        <w:rPr>
          <w:highlight w:val="none"/>
        </w:rPr>
        <w:t>第五章  磋商响应文件格式</w:t>
      </w:r>
      <w:r>
        <w:rPr>
          <w:highlight w:val="none"/>
        </w:rPr>
        <w:tab/>
      </w:r>
      <w:r>
        <w:rPr>
          <w:highlight w:val="none"/>
        </w:rPr>
        <w:fldChar w:fldCharType="begin"/>
      </w:r>
      <w:r>
        <w:rPr>
          <w:highlight w:val="none"/>
        </w:rPr>
        <w:instrText xml:space="preserve"> PAGEREF _Toc18156 \h </w:instrText>
      </w:r>
      <w:r>
        <w:rPr>
          <w:highlight w:val="none"/>
        </w:rPr>
        <w:fldChar w:fldCharType="separate"/>
      </w:r>
      <w:r>
        <w:rPr>
          <w:highlight w:val="none"/>
        </w:rPr>
        <w:t>18</w:t>
      </w:r>
      <w:r>
        <w:rPr>
          <w:highlight w:val="none"/>
        </w:rPr>
        <w:fldChar w:fldCharType="end"/>
      </w:r>
      <w:r>
        <w:rPr>
          <w:color w:val="auto"/>
          <w:szCs w:val="32"/>
          <w:highlight w:val="none"/>
        </w:rPr>
        <w:fldChar w:fldCharType="end"/>
      </w:r>
    </w:p>
    <w:p w14:paraId="73349406">
      <w:pPr>
        <w:pStyle w:val="29"/>
        <w:tabs>
          <w:tab w:val="right" w:leader="dot" w:pos="9356"/>
        </w:tabs>
        <w:rPr>
          <w:highlight w:val="none"/>
        </w:rPr>
      </w:pPr>
      <w:r>
        <w:rPr>
          <w:color w:val="auto"/>
          <w:szCs w:val="32"/>
          <w:highlight w:val="none"/>
        </w:rPr>
        <w:fldChar w:fldCharType="begin"/>
      </w:r>
      <w:r>
        <w:rPr>
          <w:szCs w:val="32"/>
          <w:highlight w:val="none"/>
        </w:rPr>
        <w:instrText xml:space="preserve"> HYPERLINK \l _Toc24399 </w:instrText>
      </w:r>
      <w:r>
        <w:rPr>
          <w:szCs w:val="32"/>
          <w:highlight w:val="none"/>
        </w:rPr>
        <w:fldChar w:fldCharType="separate"/>
      </w:r>
      <w:r>
        <w:rPr>
          <w:highlight w:val="none"/>
        </w:rPr>
        <w:t>第六章  合同主要条款</w:t>
      </w:r>
      <w:r>
        <w:rPr>
          <w:highlight w:val="none"/>
        </w:rPr>
        <w:tab/>
      </w:r>
      <w:r>
        <w:rPr>
          <w:highlight w:val="none"/>
        </w:rPr>
        <w:fldChar w:fldCharType="begin"/>
      </w:r>
      <w:r>
        <w:rPr>
          <w:highlight w:val="none"/>
        </w:rPr>
        <w:instrText xml:space="preserve"> PAGEREF _Toc24399 \h </w:instrText>
      </w:r>
      <w:r>
        <w:rPr>
          <w:highlight w:val="none"/>
        </w:rPr>
        <w:fldChar w:fldCharType="separate"/>
      </w:r>
      <w:r>
        <w:rPr>
          <w:highlight w:val="none"/>
        </w:rPr>
        <w:t>28</w:t>
      </w:r>
      <w:r>
        <w:rPr>
          <w:highlight w:val="none"/>
        </w:rPr>
        <w:fldChar w:fldCharType="end"/>
      </w:r>
      <w:r>
        <w:rPr>
          <w:color w:val="auto"/>
          <w:szCs w:val="32"/>
          <w:highlight w:val="none"/>
        </w:rPr>
        <w:fldChar w:fldCharType="end"/>
      </w:r>
    </w:p>
    <w:p w14:paraId="32E191DD">
      <w:pPr>
        <w:spacing w:line="400" w:lineRule="exact"/>
        <w:jc w:val="left"/>
        <w:rPr>
          <w:color w:val="auto"/>
          <w:sz w:val="32"/>
          <w:szCs w:val="32"/>
          <w:highlight w:val="none"/>
        </w:rPr>
      </w:pPr>
      <w:r>
        <w:rPr>
          <w:color w:val="auto"/>
          <w:szCs w:val="32"/>
          <w:highlight w:val="none"/>
        </w:rPr>
        <w:fldChar w:fldCharType="end"/>
      </w:r>
    </w:p>
    <w:p w14:paraId="088F936E">
      <w:pPr>
        <w:spacing w:line="400" w:lineRule="exact"/>
        <w:jc w:val="left"/>
        <w:rPr>
          <w:color w:val="auto"/>
          <w:sz w:val="32"/>
          <w:szCs w:val="32"/>
          <w:highlight w:val="none"/>
        </w:rPr>
      </w:pPr>
    </w:p>
    <w:p w14:paraId="3B802D9B">
      <w:pPr>
        <w:spacing w:line="400" w:lineRule="exact"/>
        <w:jc w:val="center"/>
        <w:rPr>
          <w:color w:val="auto"/>
          <w:sz w:val="32"/>
          <w:szCs w:val="32"/>
          <w:highlight w:val="none"/>
        </w:rPr>
      </w:pPr>
    </w:p>
    <w:p w14:paraId="26EAB3C4">
      <w:pPr>
        <w:spacing w:line="400" w:lineRule="exact"/>
        <w:jc w:val="center"/>
        <w:rPr>
          <w:color w:val="auto"/>
          <w:sz w:val="32"/>
          <w:szCs w:val="32"/>
          <w:highlight w:val="none"/>
        </w:rPr>
      </w:pPr>
    </w:p>
    <w:p w14:paraId="7E271BB2">
      <w:pPr>
        <w:spacing w:line="400" w:lineRule="exact"/>
        <w:jc w:val="center"/>
        <w:rPr>
          <w:color w:val="auto"/>
          <w:sz w:val="32"/>
          <w:szCs w:val="32"/>
          <w:highlight w:val="none"/>
        </w:rPr>
      </w:pPr>
    </w:p>
    <w:p w14:paraId="3734ED59">
      <w:pPr>
        <w:spacing w:line="400" w:lineRule="exact"/>
        <w:jc w:val="center"/>
        <w:rPr>
          <w:color w:val="auto"/>
          <w:sz w:val="32"/>
          <w:szCs w:val="32"/>
          <w:highlight w:val="none"/>
        </w:rPr>
      </w:pPr>
    </w:p>
    <w:p w14:paraId="69546B55">
      <w:pPr>
        <w:spacing w:line="400" w:lineRule="exact"/>
        <w:jc w:val="center"/>
        <w:rPr>
          <w:color w:val="auto"/>
          <w:sz w:val="32"/>
          <w:szCs w:val="32"/>
          <w:highlight w:val="none"/>
        </w:rPr>
      </w:pPr>
    </w:p>
    <w:p w14:paraId="457F28AF">
      <w:pPr>
        <w:spacing w:line="400" w:lineRule="exact"/>
        <w:jc w:val="center"/>
        <w:rPr>
          <w:color w:val="auto"/>
          <w:sz w:val="32"/>
          <w:szCs w:val="32"/>
          <w:highlight w:val="none"/>
        </w:rPr>
      </w:pPr>
    </w:p>
    <w:p w14:paraId="40AAF22D">
      <w:pPr>
        <w:spacing w:line="400" w:lineRule="exact"/>
        <w:jc w:val="center"/>
        <w:rPr>
          <w:color w:val="auto"/>
          <w:sz w:val="32"/>
          <w:szCs w:val="32"/>
          <w:highlight w:val="none"/>
        </w:rPr>
      </w:pPr>
    </w:p>
    <w:p w14:paraId="1203F3F6">
      <w:pPr>
        <w:spacing w:line="400" w:lineRule="exact"/>
        <w:jc w:val="center"/>
        <w:rPr>
          <w:color w:val="auto"/>
          <w:sz w:val="32"/>
          <w:szCs w:val="32"/>
          <w:highlight w:val="none"/>
        </w:rPr>
      </w:pPr>
    </w:p>
    <w:p w14:paraId="02E618BE">
      <w:pPr>
        <w:spacing w:line="400" w:lineRule="exact"/>
        <w:jc w:val="center"/>
        <w:rPr>
          <w:color w:val="auto"/>
          <w:sz w:val="32"/>
          <w:szCs w:val="32"/>
          <w:highlight w:val="none"/>
        </w:rPr>
      </w:pPr>
    </w:p>
    <w:p w14:paraId="5159ABF0">
      <w:pPr>
        <w:spacing w:line="400" w:lineRule="exact"/>
        <w:jc w:val="center"/>
        <w:rPr>
          <w:color w:val="auto"/>
          <w:sz w:val="32"/>
          <w:szCs w:val="32"/>
          <w:highlight w:val="none"/>
        </w:rPr>
      </w:pPr>
    </w:p>
    <w:p w14:paraId="7AE41C3C">
      <w:pPr>
        <w:spacing w:line="400" w:lineRule="exact"/>
        <w:jc w:val="center"/>
        <w:rPr>
          <w:color w:val="auto"/>
          <w:sz w:val="32"/>
          <w:szCs w:val="32"/>
          <w:highlight w:val="none"/>
        </w:rPr>
      </w:pPr>
    </w:p>
    <w:p w14:paraId="7B25A346">
      <w:pPr>
        <w:spacing w:line="400" w:lineRule="exact"/>
        <w:jc w:val="center"/>
        <w:rPr>
          <w:color w:val="auto"/>
          <w:sz w:val="32"/>
          <w:szCs w:val="32"/>
          <w:highlight w:val="none"/>
        </w:rPr>
      </w:pPr>
    </w:p>
    <w:p w14:paraId="1192FB39">
      <w:pPr>
        <w:spacing w:line="400" w:lineRule="exact"/>
        <w:jc w:val="center"/>
        <w:rPr>
          <w:color w:val="auto"/>
          <w:sz w:val="32"/>
          <w:szCs w:val="32"/>
          <w:highlight w:val="none"/>
        </w:rPr>
      </w:pPr>
    </w:p>
    <w:p w14:paraId="7C450A92">
      <w:pPr>
        <w:spacing w:line="400" w:lineRule="exact"/>
        <w:jc w:val="center"/>
        <w:rPr>
          <w:color w:val="auto"/>
          <w:sz w:val="32"/>
          <w:szCs w:val="32"/>
          <w:highlight w:val="none"/>
        </w:rPr>
      </w:pPr>
    </w:p>
    <w:p w14:paraId="7D58700C">
      <w:pPr>
        <w:spacing w:line="400" w:lineRule="exact"/>
        <w:jc w:val="center"/>
        <w:rPr>
          <w:color w:val="auto"/>
          <w:sz w:val="32"/>
          <w:szCs w:val="32"/>
          <w:highlight w:val="none"/>
        </w:rPr>
      </w:pPr>
    </w:p>
    <w:p w14:paraId="66EA4E7F">
      <w:pPr>
        <w:spacing w:line="400" w:lineRule="exact"/>
        <w:jc w:val="center"/>
        <w:rPr>
          <w:color w:val="auto"/>
          <w:sz w:val="32"/>
          <w:szCs w:val="32"/>
          <w:highlight w:val="none"/>
        </w:rPr>
      </w:pPr>
    </w:p>
    <w:p w14:paraId="2BD139C4">
      <w:pPr>
        <w:spacing w:line="400" w:lineRule="exact"/>
        <w:jc w:val="center"/>
        <w:rPr>
          <w:color w:val="auto"/>
          <w:sz w:val="32"/>
          <w:szCs w:val="32"/>
          <w:highlight w:val="none"/>
        </w:rPr>
      </w:pPr>
      <w:r>
        <w:rPr>
          <w:color w:val="auto"/>
          <w:sz w:val="32"/>
          <w:szCs w:val="32"/>
          <w:highlight w:val="none"/>
        </w:rPr>
        <w:br w:type="page"/>
      </w:r>
    </w:p>
    <w:p w14:paraId="1CD961EB">
      <w:pPr>
        <w:spacing w:line="480" w:lineRule="auto"/>
        <w:jc w:val="center"/>
        <w:rPr>
          <w:color w:val="auto"/>
          <w:sz w:val="44"/>
          <w:szCs w:val="20"/>
          <w:highlight w:val="none"/>
        </w:rPr>
      </w:pPr>
    </w:p>
    <w:p w14:paraId="069D1D31">
      <w:pPr>
        <w:spacing w:line="480" w:lineRule="auto"/>
        <w:jc w:val="center"/>
        <w:rPr>
          <w:color w:val="auto"/>
          <w:sz w:val="44"/>
          <w:szCs w:val="20"/>
          <w:highlight w:val="none"/>
        </w:rPr>
      </w:pPr>
    </w:p>
    <w:p w14:paraId="27BFF5AC">
      <w:pPr>
        <w:spacing w:line="480" w:lineRule="auto"/>
        <w:jc w:val="center"/>
        <w:rPr>
          <w:color w:val="auto"/>
          <w:sz w:val="44"/>
          <w:szCs w:val="20"/>
          <w:highlight w:val="none"/>
        </w:rPr>
      </w:pPr>
    </w:p>
    <w:p w14:paraId="36CBC6D3">
      <w:pPr>
        <w:spacing w:line="480" w:lineRule="auto"/>
        <w:rPr>
          <w:color w:val="auto"/>
          <w:sz w:val="44"/>
          <w:szCs w:val="20"/>
          <w:highlight w:val="none"/>
        </w:rPr>
      </w:pPr>
    </w:p>
    <w:p w14:paraId="57A1A7E6">
      <w:pPr>
        <w:spacing w:line="480" w:lineRule="auto"/>
        <w:rPr>
          <w:color w:val="auto"/>
          <w:sz w:val="44"/>
          <w:szCs w:val="20"/>
          <w:highlight w:val="none"/>
        </w:rPr>
      </w:pPr>
    </w:p>
    <w:p w14:paraId="6373AC0A">
      <w:pPr>
        <w:spacing w:line="480" w:lineRule="auto"/>
        <w:jc w:val="center"/>
        <w:rPr>
          <w:color w:val="auto"/>
          <w:sz w:val="44"/>
          <w:szCs w:val="20"/>
          <w:highlight w:val="none"/>
        </w:rPr>
      </w:pPr>
    </w:p>
    <w:p w14:paraId="491470B1">
      <w:pPr>
        <w:spacing w:line="480" w:lineRule="auto"/>
        <w:jc w:val="center"/>
        <w:rPr>
          <w:color w:val="auto"/>
          <w:sz w:val="44"/>
          <w:szCs w:val="20"/>
          <w:highlight w:val="none"/>
        </w:rPr>
      </w:pPr>
    </w:p>
    <w:p w14:paraId="7C1D075E">
      <w:pPr>
        <w:spacing w:line="480" w:lineRule="auto"/>
        <w:jc w:val="center"/>
        <w:rPr>
          <w:color w:val="auto"/>
          <w:sz w:val="44"/>
          <w:szCs w:val="20"/>
          <w:highlight w:val="none"/>
        </w:rPr>
      </w:pPr>
    </w:p>
    <w:p w14:paraId="31BCE56B">
      <w:pPr>
        <w:pStyle w:val="2"/>
        <w:rPr>
          <w:rFonts w:hint="eastAsia" w:eastAsia="宋体"/>
          <w:color w:val="auto"/>
          <w:sz w:val="44"/>
          <w:szCs w:val="20"/>
          <w:highlight w:val="none"/>
          <w:lang w:eastAsia="zh-CN"/>
        </w:rPr>
      </w:pPr>
      <w:bookmarkStart w:id="0" w:name="_Toc19903"/>
      <w:bookmarkStart w:id="1" w:name="_Toc77937041"/>
      <w:bookmarkStart w:id="2" w:name="_Toc7022"/>
      <w:r>
        <w:rPr>
          <w:color w:val="auto"/>
          <w:szCs w:val="20"/>
          <w:highlight w:val="none"/>
        </w:rPr>
        <w:t>第一章  竞争性磋商公告</w:t>
      </w:r>
      <w:bookmarkEnd w:id="0"/>
      <w:bookmarkEnd w:id="1"/>
      <w:bookmarkEnd w:id="2"/>
    </w:p>
    <w:p w14:paraId="62EF82DE">
      <w:pPr>
        <w:spacing w:line="480" w:lineRule="auto"/>
        <w:jc w:val="center"/>
        <w:rPr>
          <w:color w:val="auto"/>
          <w:sz w:val="44"/>
          <w:szCs w:val="20"/>
          <w:highlight w:val="none"/>
        </w:rPr>
      </w:pPr>
    </w:p>
    <w:p w14:paraId="70908974">
      <w:pPr>
        <w:spacing w:line="480" w:lineRule="auto"/>
        <w:jc w:val="center"/>
        <w:rPr>
          <w:color w:val="auto"/>
          <w:sz w:val="44"/>
          <w:szCs w:val="20"/>
          <w:highlight w:val="none"/>
        </w:rPr>
      </w:pPr>
    </w:p>
    <w:p w14:paraId="0B7DD0F2">
      <w:pPr>
        <w:spacing w:line="480" w:lineRule="auto"/>
        <w:jc w:val="center"/>
        <w:rPr>
          <w:color w:val="auto"/>
          <w:sz w:val="44"/>
          <w:szCs w:val="20"/>
          <w:highlight w:val="none"/>
        </w:rPr>
      </w:pPr>
    </w:p>
    <w:p w14:paraId="209FC9F4">
      <w:pPr>
        <w:spacing w:line="480" w:lineRule="auto"/>
        <w:jc w:val="center"/>
        <w:rPr>
          <w:color w:val="auto"/>
          <w:sz w:val="44"/>
          <w:szCs w:val="20"/>
          <w:highlight w:val="none"/>
        </w:rPr>
      </w:pPr>
    </w:p>
    <w:p w14:paraId="04E9A817">
      <w:pPr>
        <w:spacing w:line="500" w:lineRule="exact"/>
        <w:jc w:val="center"/>
        <w:rPr>
          <w:rFonts w:hint="eastAsia" w:eastAsia="黑体"/>
          <w:color w:val="auto"/>
          <w:kern w:val="2"/>
          <w:sz w:val="44"/>
          <w:szCs w:val="44"/>
          <w:highlight w:val="none"/>
          <w:lang w:val="en-US" w:eastAsia="zh-CN" w:bidi="ar-SA"/>
        </w:rPr>
      </w:pPr>
      <w:r>
        <w:rPr>
          <w:rFonts w:hint="eastAsia" w:eastAsia="黑体"/>
          <w:color w:val="auto"/>
          <w:sz w:val="44"/>
          <w:szCs w:val="44"/>
          <w:highlight w:val="none"/>
        </w:rPr>
        <w:br w:type="page"/>
      </w:r>
      <w:r>
        <w:rPr>
          <w:rFonts w:hint="eastAsia" w:eastAsia="黑体"/>
          <w:color w:val="auto"/>
          <w:kern w:val="2"/>
          <w:sz w:val="44"/>
          <w:szCs w:val="44"/>
          <w:highlight w:val="none"/>
          <w:lang w:val="en-US" w:eastAsia="zh-CN" w:bidi="ar-SA"/>
        </w:rPr>
        <w:t>新媒体代运营项目磋商公告
</w:t>
      </w:r>
    </w:p>
    <w:p w14:paraId="406C8ED0">
      <w:pPr>
        <w:spacing w:line="500" w:lineRule="exact"/>
        <w:jc w:val="center"/>
        <w:rPr>
          <w:rFonts w:hint="eastAsia" w:eastAsia="黑体"/>
          <w:color w:val="auto"/>
          <w:kern w:val="2"/>
          <w:sz w:val="44"/>
          <w:szCs w:val="44"/>
          <w:highlight w:val="none"/>
          <w:lang w:val="en-US" w:eastAsia="zh-CN" w:bidi="ar-SA"/>
        </w:rPr>
      </w:pPr>
    </w:p>
    <w:p w14:paraId="409AB1E2">
      <w:pPr>
        <w:pStyle w:val="267"/>
        <w:keepNext w:val="0"/>
        <w:keepLines w:val="0"/>
        <w:pageBreakBefore w:val="0"/>
        <w:kinsoku/>
        <w:wordWrap/>
        <w:overflowPunct/>
        <w:topLinePunct w:val="0"/>
        <w:autoSpaceDE/>
        <w:autoSpaceDN/>
        <w:bidi w:val="0"/>
        <w:adjustRightInd/>
        <w:spacing w:before="0" w:after="0" w:line="400" w:lineRule="exact"/>
        <w:ind w:firstLine="420" w:firstLineChars="200"/>
        <w:textAlignment w:val="auto"/>
        <w:rPr>
          <w:rFonts w:hint="eastAsia" w:asciiTheme="majorEastAsia" w:hAnsiTheme="majorEastAsia" w:eastAsiaTheme="majorEastAsia" w:cstheme="majorEastAsia"/>
          <w:sz w:val="16"/>
          <w:szCs w:val="16"/>
          <w:highlight w:val="none"/>
        </w:rPr>
      </w:pPr>
      <w:r>
        <w:rPr>
          <w:rFonts w:hint="eastAsia" w:asciiTheme="majorEastAsia" w:hAnsiTheme="majorEastAsia" w:eastAsiaTheme="majorEastAsia" w:cstheme="majorEastAsia"/>
          <w:color w:val="auto"/>
          <w:kern w:val="2"/>
          <w:sz w:val="21"/>
          <w:szCs w:val="21"/>
          <w:highlight w:val="none"/>
          <w:lang w:val="en-US" w:eastAsia="zh-CN" w:bidi="ar-SA"/>
        </w:rPr>
        <w:t>广西东博国际经贸投资有限公司拟对</w:t>
      </w:r>
      <w:r>
        <w:rPr>
          <w:rFonts w:hint="eastAsia" w:asciiTheme="majorEastAsia" w:hAnsiTheme="majorEastAsia" w:eastAsiaTheme="majorEastAsia" w:cstheme="majorEastAsia"/>
          <w:color w:val="auto"/>
          <w:kern w:val="2"/>
          <w:sz w:val="21"/>
          <w:szCs w:val="21"/>
          <w:highlight w:val="none"/>
          <w:u w:val="single"/>
          <w:lang w:val="en-US" w:eastAsia="zh-CN" w:bidi="ar-SA"/>
        </w:rPr>
        <w:t>新媒体代运营项目</w:t>
      </w:r>
      <w:r>
        <w:rPr>
          <w:rFonts w:hint="eastAsia" w:asciiTheme="majorEastAsia" w:hAnsiTheme="majorEastAsia" w:eastAsiaTheme="majorEastAsia" w:cstheme="majorEastAsia"/>
          <w:color w:val="auto"/>
          <w:kern w:val="2"/>
          <w:sz w:val="21"/>
          <w:szCs w:val="21"/>
          <w:highlight w:val="none"/>
          <w:lang w:val="en-US" w:eastAsia="zh-CN" w:bidi="ar-SA"/>
        </w:rPr>
        <w:t>采购，现将有关事项公告如下</w:t>
      </w:r>
      <w:r>
        <w:rPr>
          <w:rFonts w:hint="eastAsia" w:asciiTheme="majorEastAsia" w:hAnsiTheme="majorEastAsia" w:eastAsiaTheme="majorEastAsia" w:cstheme="majorEastAsia"/>
          <w:sz w:val="16"/>
          <w:szCs w:val="16"/>
          <w:highlight w:val="none"/>
        </w:rPr>
        <w:t>：
</w:t>
      </w:r>
    </w:p>
    <w:p w14:paraId="62C54AD5">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sz w:val="15"/>
          <w:szCs w:val="18"/>
          <w:highlight w:val="none"/>
        </w:rPr>
      </w:pPr>
      <w:r>
        <w:rPr>
          <w:rFonts w:hint="eastAsia" w:asciiTheme="majorEastAsia" w:hAnsiTheme="majorEastAsia" w:eastAsiaTheme="majorEastAsia" w:cstheme="majorEastAsia"/>
          <w:b/>
          <w:bCs w:val="0"/>
          <w:color w:val="auto"/>
          <w:kern w:val="2"/>
          <w:sz w:val="21"/>
          <w:szCs w:val="21"/>
          <w:highlight w:val="none"/>
          <w:lang w:val="en-US" w:eastAsia="zh-CN" w:bidi="ar-SA"/>
        </w:rPr>
        <w:t>一、采购项目名称</w:t>
      </w:r>
      <w:r>
        <w:rPr>
          <w:rFonts w:hint="eastAsia" w:asciiTheme="majorEastAsia" w:hAnsiTheme="majorEastAsia" w:eastAsiaTheme="majorEastAsia" w:cstheme="majorEastAsia"/>
          <w:sz w:val="15"/>
          <w:szCs w:val="18"/>
          <w:highlight w:val="none"/>
        </w:rPr>
        <w:t>
</w:t>
      </w:r>
    </w:p>
    <w:p w14:paraId="7E0F4C0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项目名称：新媒体代运营项目
</w:t>
      </w:r>
    </w:p>
    <w:p w14:paraId="658DE790">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二、采购组织形式：企业自行采购
</w:t>
      </w:r>
    </w:p>
    <w:p w14:paraId="11FCFADE">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三、采购项目及内容需求：
</w:t>
      </w:r>
    </w:p>
    <w:tbl>
      <w:tblPr>
        <w:tblStyle w:val="41"/>
        <w:tblW w:w="96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4984"/>
        <w:gridCol w:w="1322"/>
        <w:gridCol w:w="2258"/>
      </w:tblGrid>
      <w:tr w14:paraId="3C5F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4140BC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序号</w:t>
            </w:r>
          </w:p>
        </w:tc>
        <w:tc>
          <w:tcPr>
            <w:tcW w:w="4984" w:type="dxa"/>
            <w:tcBorders>
              <w:top w:val="single" w:color="000000" w:sz="4" w:space="0"/>
              <w:left w:val="single" w:color="000000" w:sz="4" w:space="0"/>
              <w:bottom w:val="single" w:color="000000" w:sz="4" w:space="0"/>
              <w:right w:val="single" w:color="000000" w:sz="4" w:space="0"/>
            </w:tcBorders>
            <w:noWrap/>
            <w:vAlign w:val="center"/>
          </w:tcPr>
          <w:p w14:paraId="46AECD5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采购内容</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370F1BB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数量</w:t>
            </w:r>
          </w:p>
        </w:tc>
        <w:tc>
          <w:tcPr>
            <w:tcW w:w="2258" w:type="dxa"/>
            <w:tcBorders>
              <w:top w:val="single" w:color="000000" w:sz="4" w:space="0"/>
              <w:left w:val="single" w:color="000000" w:sz="4" w:space="0"/>
              <w:bottom w:val="single" w:color="000000" w:sz="4" w:space="0"/>
              <w:right w:val="single" w:color="000000" w:sz="4" w:space="0"/>
            </w:tcBorders>
            <w:noWrap/>
            <w:vAlign w:val="center"/>
          </w:tcPr>
          <w:p w14:paraId="55FFB71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bCs/>
                <w:color w:val="auto"/>
                <w:kern w:val="2"/>
                <w:sz w:val="21"/>
                <w:szCs w:val="21"/>
                <w:highlight w:val="none"/>
                <w:lang w:val="en-US" w:eastAsia="zh-CN" w:bidi="ar-SA"/>
              </w:rPr>
            </w:pPr>
            <w:r>
              <w:rPr>
                <w:rFonts w:hint="eastAsia" w:asciiTheme="majorEastAsia" w:hAnsiTheme="majorEastAsia" w:eastAsiaTheme="majorEastAsia" w:cstheme="majorEastAsia"/>
                <w:bCs/>
                <w:color w:val="auto"/>
                <w:kern w:val="2"/>
                <w:sz w:val="21"/>
                <w:szCs w:val="21"/>
                <w:highlight w:val="none"/>
                <w:lang w:val="en-US" w:eastAsia="zh-CN" w:bidi="ar-SA"/>
              </w:rPr>
              <w:t>项目最高限价（元）</w:t>
            </w:r>
          </w:p>
        </w:tc>
      </w:tr>
      <w:tr w14:paraId="5405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23F362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w:t>
            </w:r>
          </w:p>
        </w:tc>
        <w:tc>
          <w:tcPr>
            <w:tcW w:w="4984" w:type="dxa"/>
            <w:tcBorders>
              <w:top w:val="single" w:color="000000" w:sz="4" w:space="0"/>
              <w:left w:val="single" w:color="000000" w:sz="4" w:space="0"/>
              <w:bottom w:val="single" w:color="000000" w:sz="4" w:space="0"/>
              <w:right w:val="single" w:color="000000" w:sz="4" w:space="0"/>
            </w:tcBorders>
            <w:noWrap w:val="0"/>
            <w:vAlign w:val="center"/>
          </w:tcPr>
          <w:p w14:paraId="7B93F8C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新媒体代运营服务，具体内容详见《竞争性磋商文件》</w:t>
            </w:r>
          </w:p>
        </w:tc>
        <w:tc>
          <w:tcPr>
            <w:tcW w:w="1322" w:type="dxa"/>
            <w:tcBorders>
              <w:top w:val="single" w:color="000000" w:sz="4" w:space="0"/>
              <w:left w:val="single" w:color="000000" w:sz="4" w:space="0"/>
              <w:bottom w:val="single" w:color="000000" w:sz="4" w:space="0"/>
              <w:right w:val="single" w:color="000000" w:sz="4" w:space="0"/>
            </w:tcBorders>
            <w:noWrap/>
            <w:vAlign w:val="center"/>
          </w:tcPr>
          <w:p w14:paraId="05282A4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w:t>
            </w:r>
          </w:p>
        </w:tc>
        <w:tc>
          <w:tcPr>
            <w:tcW w:w="2258" w:type="dxa"/>
            <w:tcBorders>
              <w:top w:val="single" w:color="000000" w:sz="4" w:space="0"/>
              <w:left w:val="single" w:color="000000" w:sz="4" w:space="0"/>
              <w:bottom w:val="single" w:color="000000" w:sz="4" w:space="0"/>
              <w:right w:val="single" w:color="000000" w:sz="4" w:space="0"/>
            </w:tcBorders>
            <w:noWrap/>
            <w:vAlign w:val="center"/>
          </w:tcPr>
          <w:p w14:paraId="2730EE6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180000</w:t>
            </w:r>
          </w:p>
        </w:tc>
      </w:tr>
      <w:tr w14:paraId="5186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C34DD3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说明</w:t>
            </w:r>
          </w:p>
        </w:tc>
        <w:tc>
          <w:tcPr>
            <w:tcW w:w="8564" w:type="dxa"/>
            <w:gridSpan w:val="3"/>
            <w:tcBorders>
              <w:top w:val="single" w:color="000000" w:sz="4" w:space="0"/>
              <w:left w:val="single" w:color="000000" w:sz="4" w:space="0"/>
              <w:bottom w:val="single" w:color="000000" w:sz="4" w:space="0"/>
              <w:right w:val="single" w:color="000000" w:sz="4" w:space="0"/>
            </w:tcBorders>
            <w:noWrap/>
            <w:vAlign w:val="center"/>
          </w:tcPr>
          <w:p w14:paraId="677DDDB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竞标人投标报价和总价均不能超过以上最高限价，否则投标无效。</w:t>
            </w:r>
          </w:p>
        </w:tc>
      </w:tr>
    </w:tbl>
    <w:p w14:paraId="56CF6D8B">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四、竞标人资格：
</w:t>
      </w:r>
    </w:p>
    <w:p w14:paraId="476CC38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1.国内注册（指按国家有关规定要求注册的），营业执照经营范围包含 “新媒体运营”或“广告设计”“广告制作” 等相关类目，具备独立法人资格的竞标人。
</w:t>
      </w:r>
    </w:p>
    <w:p w14:paraId="3E5A286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2.诚实守信，近三年内不良记录，无重大负面舆情、数据造假等行为被行政处罚，未被 “信用中国” 列入 “黑名单”。
</w:t>
      </w:r>
    </w:p>
    <w:p w14:paraId="7EC86FD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3.本项目的特定资格要求：
</w:t>
      </w:r>
    </w:p>
    <w:p w14:paraId="1F43532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（1）承诺并保证，中选确认前不得透露任何经贸中心认为的保密信息，不得以任何形式关联经贸中心进行未经授权的商业宣传，账号归属权归经贸中心所有，不可私自导入客户信息。
</w:t>
      </w:r>
    </w:p>
    <w:p w14:paraId="3A4C9DE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（2）具备新媒体平台投放经验，且具备服务政府机构、经贸组织、涉外企业、大型国企、央企、事业单位、大型企业、个人 IP 打造的至少 3 个成功案例（需提供合同证明或账号后台数据）。
</w:t>
      </w:r>
    </w:p>
    <w:p w14:paraId="615D088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4.单位负责人为同一人或者存在直接控股、管理关系的不同竞标人，不得参加同一合同项下的采购活动。
</w:t>
      </w:r>
    </w:p>
    <w:p w14:paraId="2ADF1D0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5.对在“信用中国”网站(www.creditchina.gov.cn)、中国政府采购网(www.ccgp.gov.cn)列入失信被执行人、重大税收违法案件当事人名单、政府采购严重违法失信行为记录名单竞标人，不得参与本次采购活动。</w:t>
      </w:r>
    </w:p>
    <w:p w14:paraId="1F10E120">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五、竞争性磋商文件的获取：</w:t>
      </w:r>
    </w:p>
    <w:p w14:paraId="422BED2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获取竞争性磋商文件时间：2025年6月26日 至2025年6月30日18:00前在广西国际博览集团有限公司官方网站（</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https://www.gxe</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xpogp</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.cn/</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
</w:t>
      </w:r>
    </w:p>
    <w:p w14:paraId="6F45D38E">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六、磋商响应文件递交截止时间和地点：</w:t>
      </w:r>
    </w:p>
    <w:p w14:paraId="76F141D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磋商响应文件必须以密封形式于</w:t>
      </w:r>
      <w:r>
        <w:rPr>
          <w:rFonts w:hint="eastAsia" w:asciiTheme="majorEastAsia" w:hAnsiTheme="majorEastAsia" w:eastAsiaTheme="majorEastAsia" w:cstheme="majorEastAsia"/>
          <w:color w:val="auto"/>
          <w:spacing w:val="0"/>
          <w:w w:val="100"/>
          <w:kern w:val="2"/>
          <w:position w:val="0"/>
          <w:sz w:val="21"/>
          <w:szCs w:val="21"/>
          <w:highlight w:val="none"/>
          <w:u w:val="single"/>
          <w:lang w:val="en-US" w:eastAsia="zh-CN" w:bidi="ar-SA"/>
        </w:rPr>
        <w:t>2025年7月1日9:00</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前，递交到（</w:t>
      </w:r>
      <w:r>
        <w:rPr>
          <w:rFonts w:hint="eastAsia" w:asciiTheme="majorEastAsia" w:hAnsiTheme="majorEastAsia" w:eastAsiaTheme="majorEastAsia" w:cstheme="majorEastAsia"/>
          <w:color w:val="auto"/>
          <w:spacing w:val="0"/>
          <w:w w:val="100"/>
          <w:kern w:val="2"/>
          <w:position w:val="0"/>
          <w:sz w:val="21"/>
          <w:szCs w:val="21"/>
          <w:highlight w:val="none"/>
          <w:u w:val="single"/>
          <w:lang w:val="en-US" w:eastAsia="zh-CN" w:bidi="ar-SA"/>
        </w:rPr>
        <w:t>广西南宁市良庆区平乐大道 10 号商务街 4 号楼213会议室，联系电话：0771-8060364</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），逾期送达或未密封将予以拒收。
</w:t>
      </w:r>
    </w:p>
    <w:p w14:paraId="1D532187">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七、磋商时间及地点</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：本次磋商将于</w:t>
      </w:r>
      <w:r>
        <w:rPr>
          <w:rFonts w:hint="eastAsia" w:asciiTheme="majorEastAsia" w:hAnsiTheme="majorEastAsia" w:eastAsiaTheme="majorEastAsia" w:cstheme="majorEastAsia"/>
          <w:color w:val="auto"/>
          <w:spacing w:val="0"/>
          <w:w w:val="100"/>
          <w:kern w:val="2"/>
          <w:position w:val="0"/>
          <w:sz w:val="21"/>
          <w:szCs w:val="21"/>
          <w:highlight w:val="none"/>
          <w:u w:val="single"/>
          <w:lang w:val="en-US" w:eastAsia="zh-CN" w:bidi="ar-SA"/>
        </w:rPr>
        <w:t xml:space="preserve">2025年7月1日9:00 </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在（</w:t>
      </w:r>
      <w:r>
        <w:rPr>
          <w:rFonts w:hint="eastAsia" w:asciiTheme="majorEastAsia" w:hAnsiTheme="majorEastAsia" w:eastAsiaTheme="majorEastAsia" w:cstheme="majorEastAsia"/>
          <w:color w:val="auto"/>
          <w:spacing w:val="0"/>
          <w:w w:val="100"/>
          <w:kern w:val="2"/>
          <w:position w:val="0"/>
          <w:sz w:val="21"/>
          <w:szCs w:val="21"/>
          <w:highlight w:val="none"/>
          <w:u w:val="single"/>
          <w:lang w:val="en-US" w:eastAsia="zh-CN" w:bidi="ar-SA"/>
        </w:rPr>
        <w:t>广西南宁市良庆区平乐大道 10 号商务街 4 号楼213会议室）</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进行。参加磋商的法定代表人或委托代理人必须持证件（法定代表人凭身份证原件或委托代理人凭法人授权委托书原件和身份证原件）依时到达指定地点等候磋商。
</w:t>
      </w:r>
    </w:p>
    <w:p w14:paraId="105DA1F8">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sz w:val="15"/>
          <w:szCs w:val="18"/>
          <w:highlight w:val="none"/>
        </w:rPr>
      </w:pPr>
      <w:r>
        <w:rPr>
          <w:rFonts w:hint="eastAsia" w:asciiTheme="majorEastAsia" w:hAnsiTheme="majorEastAsia" w:eastAsiaTheme="majorEastAsia" w:cstheme="majorEastAsia"/>
          <w:b/>
          <w:bCs w:val="0"/>
          <w:color w:val="auto"/>
          <w:kern w:val="2"/>
          <w:sz w:val="21"/>
          <w:szCs w:val="21"/>
          <w:highlight w:val="none"/>
          <w:lang w:val="en-US" w:eastAsia="zh-CN" w:bidi="ar-SA"/>
        </w:rPr>
        <w:t>八、公告期限
：</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自本公告发布之日起 3 个工作日。</w:t>
      </w:r>
      <w:r>
        <w:rPr>
          <w:rFonts w:hint="eastAsia" w:asciiTheme="majorEastAsia" w:hAnsiTheme="majorEastAsia" w:eastAsiaTheme="majorEastAsia" w:cstheme="majorEastAsia"/>
          <w:sz w:val="15"/>
          <w:szCs w:val="18"/>
          <w:highlight w:val="none"/>
        </w:rPr>
        <w:t>
</w:t>
      </w:r>
    </w:p>
    <w:p w14:paraId="366F6129">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九、业务咨询
：</w:t>
      </w:r>
    </w:p>
    <w:p w14:paraId="3EC9DCB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广西东博国际经贸投资有限公司
</w:t>
      </w:r>
    </w:p>
    <w:p w14:paraId="06C8F82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联系人：严经理</w:t>
      </w:r>
    </w:p>
    <w:p w14:paraId="32AE92B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联系电话：13768279500</w:t>
      </w:r>
    </w:p>
    <w:p w14:paraId="1D67AD1D">
      <w:pPr>
        <w:keepNext w:val="0"/>
        <w:keepLines w:val="0"/>
        <w:pageBreakBefore w:val="0"/>
        <w:kinsoku/>
        <w:wordWrap/>
        <w:overflowPunct/>
        <w:topLinePunct w:val="0"/>
        <w:autoSpaceDE/>
        <w:autoSpaceDN/>
        <w:bidi w:val="0"/>
        <w:adjustRightInd/>
        <w:spacing w:line="400" w:lineRule="exact"/>
        <w:ind w:left="638" w:leftChars="304" w:firstLine="0" w:firstLineChars="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地址：广西南宁市良庆区平乐大道 10 号商务街 4 号楼，邮编：530200
</w:t>
      </w:r>
    </w:p>
    <w:p w14:paraId="0850B01A">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十、监督与投诉
：</w:t>
      </w:r>
    </w:p>
    <w:p w14:paraId="4BDD723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广西国际博览集团有限公司经营管理部（安全生产部）
</w:t>
      </w:r>
    </w:p>
    <w:p w14:paraId="30864CA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联系人：刘女士</w:t>
      </w:r>
    </w:p>
    <w:p w14:paraId="0576DB5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联系电话：0771-2212522</w:t>
      </w:r>
    </w:p>
    <w:p w14:paraId="031AF327">
      <w:pPr>
        <w:keepNext w:val="0"/>
        <w:keepLines w:val="0"/>
        <w:pageBreakBefore w:val="0"/>
        <w:kinsoku/>
        <w:wordWrap/>
        <w:overflowPunct/>
        <w:topLinePunct w:val="0"/>
        <w:autoSpaceDE/>
        <w:autoSpaceDN/>
        <w:bidi w:val="0"/>
        <w:adjustRightInd/>
        <w:spacing w:line="400" w:lineRule="exact"/>
        <w:ind w:firstLine="422" w:firstLineChars="200"/>
        <w:textAlignment w:val="auto"/>
        <w:rPr>
          <w:rFonts w:hint="eastAsia" w:asciiTheme="majorEastAsia" w:hAnsiTheme="majorEastAsia" w:eastAsiaTheme="majorEastAsia" w:cstheme="majorEastAsia"/>
          <w:b/>
          <w:bCs w:val="0"/>
          <w:color w:val="auto"/>
          <w:kern w:val="2"/>
          <w:sz w:val="21"/>
          <w:szCs w:val="21"/>
          <w:highlight w:val="none"/>
          <w:lang w:val="en-US" w:eastAsia="zh-CN" w:bidi="ar-SA"/>
        </w:rPr>
      </w:pPr>
      <w:r>
        <w:rPr>
          <w:rFonts w:hint="eastAsia" w:asciiTheme="majorEastAsia" w:hAnsiTheme="majorEastAsia" w:eastAsiaTheme="majorEastAsia" w:cstheme="majorEastAsia"/>
          <w:b/>
          <w:bCs w:val="0"/>
          <w:color w:val="auto"/>
          <w:kern w:val="2"/>
          <w:sz w:val="21"/>
          <w:szCs w:val="21"/>
          <w:highlight w:val="none"/>
          <w:lang w:val="en-US" w:eastAsia="zh-CN" w:bidi="ar-SA"/>
        </w:rPr>
        <w:t>十一、网上公告媒体查询
：</w:t>
      </w:r>
    </w:p>
    <w:p w14:paraId="2C548DC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广西国际博览集团有限公司官方网站（</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https://www.gxex</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pogp</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begin"/>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instrText xml:space="preserve"> HYPERLINK "https://www.gxexpogp.cn/" </w:instrTex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separate"/>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.cn/</w:t>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fldChar w:fldCharType="end"/>
      </w: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
</w:t>
      </w:r>
    </w:p>
    <w:p w14:paraId="23D2C3C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p>
    <w:p w14:paraId="007CA72C">
      <w:pPr>
        <w:keepNext w:val="0"/>
        <w:keepLines w:val="0"/>
        <w:pageBreakBefore w:val="0"/>
        <w:kinsoku/>
        <w:wordWrap/>
        <w:overflowPunct/>
        <w:topLinePunct w:val="0"/>
        <w:autoSpaceDE/>
        <w:autoSpaceDN/>
        <w:bidi w:val="0"/>
        <w:adjustRightInd/>
        <w:spacing w:line="400" w:lineRule="exact"/>
        <w:ind w:firstLine="420" w:firstLineChars="200"/>
        <w:jc w:val="right"/>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p>
    <w:p w14:paraId="5771E09F">
      <w:pPr>
        <w:keepNext w:val="0"/>
        <w:keepLines w:val="0"/>
        <w:pageBreakBefore w:val="0"/>
        <w:kinsoku/>
        <w:wordWrap/>
        <w:overflowPunct/>
        <w:topLinePunct w:val="0"/>
        <w:autoSpaceDE/>
        <w:autoSpaceDN/>
        <w:bidi w:val="0"/>
        <w:adjustRightInd/>
        <w:spacing w:line="400" w:lineRule="exact"/>
        <w:ind w:firstLine="420" w:firstLineChars="200"/>
        <w:jc w:val="right"/>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p>
    <w:p w14:paraId="7B05BF54">
      <w:pPr>
        <w:keepNext w:val="0"/>
        <w:keepLines w:val="0"/>
        <w:pageBreakBefore w:val="0"/>
        <w:kinsoku/>
        <w:wordWrap/>
        <w:overflowPunct/>
        <w:topLinePunct w:val="0"/>
        <w:autoSpaceDE/>
        <w:autoSpaceDN/>
        <w:bidi w:val="0"/>
        <w:adjustRightInd/>
        <w:spacing w:line="400" w:lineRule="exact"/>
        <w:ind w:firstLine="420" w:firstLineChars="200"/>
        <w:jc w:val="right"/>
        <w:textAlignment w:val="auto"/>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广西东博国际经贸投资有限公司</w:t>
      </w:r>
    </w:p>
    <w:p w14:paraId="6F01B928">
      <w:pPr>
        <w:keepNext w:val="0"/>
        <w:keepLines w:val="0"/>
        <w:pageBreakBefore w:val="0"/>
        <w:kinsoku/>
        <w:wordWrap/>
        <w:overflowPunct/>
        <w:topLinePunct w:val="0"/>
        <w:autoSpaceDE/>
        <w:autoSpaceDN/>
        <w:bidi w:val="0"/>
        <w:adjustRightInd/>
        <w:spacing w:line="400" w:lineRule="exact"/>
        <w:jc w:val="righ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0"/>
          <w:w w:val="100"/>
          <w:kern w:val="2"/>
          <w:position w:val="0"/>
          <w:sz w:val="21"/>
          <w:szCs w:val="21"/>
          <w:highlight w:val="none"/>
          <w:lang w:val="en-US" w:eastAsia="zh-CN" w:bidi="ar-SA"/>
        </w:rPr>
        <w:t>2025年6月</w:t>
      </w:r>
    </w:p>
    <w:p w14:paraId="5E5677CB">
      <w:pPr>
        <w:spacing w:line="400" w:lineRule="exact"/>
        <w:jc w:val="right"/>
        <w:rPr>
          <w:color w:val="auto"/>
          <w:sz w:val="32"/>
          <w:szCs w:val="32"/>
          <w:highlight w:val="none"/>
        </w:rPr>
      </w:pPr>
    </w:p>
    <w:p w14:paraId="1D30A3F5">
      <w:pPr>
        <w:spacing w:line="400" w:lineRule="exact"/>
        <w:jc w:val="center"/>
        <w:rPr>
          <w:color w:val="auto"/>
          <w:sz w:val="32"/>
          <w:szCs w:val="32"/>
          <w:highlight w:val="none"/>
        </w:rPr>
      </w:pPr>
    </w:p>
    <w:p w14:paraId="0776DA21">
      <w:pPr>
        <w:spacing w:line="400" w:lineRule="exact"/>
        <w:jc w:val="center"/>
        <w:rPr>
          <w:color w:val="auto"/>
          <w:sz w:val="32"/>
          <w:szCs w:val="32"/>
          <w:highlight w:val="none"/>
        </w:rPr>
      </w:pPr>
    </w:p>
    <w:p w14:paraId="7C2E4F08">
      <w:pPr>
        <w:spacing w:line="400" w:lineRule="exact"/>
        <w:jc w:val="center"/>
        <w:rPr>
          <w:color w:val="auto"/>
          <w:sz w:val="32"/>
          <w:szCs w:val="32"/>
          <w:highlight w:val="none"/>
        </w:rPr>
      </w:pPr>
    </w:p>
    <w:p w14:paraId="65E7DCF7">
      <w:pPr>
        <w:spacing w:line="400" w:lineRule="exact"/>
        <w:jc w:val="center"/>
        <w:rPr>
          <w:color w:val="auto"/>
          <w:sz w:val="32"/>
          <w:szCs w:val="32"/>
          <w:highlight w:val="none"/>
        </w:rPr>
      </w:pPr>
    </w:p>
    <w:p w14:paraId="63893323">
      <w:pPr>
        <w:spacing w:line="400" w:lineRule="exact"/>
        <w:jc w:val="center"/>
        <w:rPr>
          <w:color w:val="auto"/>
          <w:sz w:val="32"/>
          <w:szCs w:val="32"/>
          <w:highlight w:val="none"/>
        </w:rPr>
      </w:pPr>
    </w:p>
    <w:p w14:paraId="0F67BBAA">
      <w:pPr>
        <w:spacing w:line="400" w:lineRule="exact"/>
        <w:jc w:val="center"/>
        <w:rPr>
          <w:color w:val="auto"/>
          <w:sz w:val="32"/>
          <w:szCs w:val="32"/>
          <w:highlight w:val="none"/>
        </w:rPr>
      </w:pPr>
    </w:p>
    <w:p w14:paraId="1E89BDF9">
      <w:pPr>
        <w:spacing w:line="400" w:lineRule="exact"/>
        <w:jc w:val="center"/>
        <w:rPr>
          <w:color w:val="auto"/>
          <w:sz w:val="32"/>
          <w:szCs w:val="32"/>
          <w:highlight w:val="none"/>
        </w:rPr>
      </w:pPr>
    </w:p>
    <w:p w14:paraId="12E7A426">
      <w:pPr>
        <w:spacing w:line="400" w:lineRule="exact"/>
        <w:rPr>
          <w:color w:val="auto"/>
          <w:sz w:val="32"/>
          <w:szCs w:val="32"/>
          <w:highlight w:val="none"/>
        </w:rPr>
      </w:pPr>
    </w:p>
    <w:p w14:paraId="04C5F89E">
      <w:pPr>
        <w:spacing w:line="400" w:lineRule="exact"/>
        <w:jc w:val="center"/>
        <w:rPr>
          <w:color w:val="auto"/>
          <w:sz w:val="32"/>
          <w:szCs w:val="32"/>
          <w:highlight w:val="none"/>
        </w:rPr>
      </w:pPr>
    </w:p>
    <w:p w14:paraId="5B2CED1D">
      <w:pPr>
        <w:spacing w:line="480" w:lineRule="auto"/>
        <w:jc w:val="center"/>
        <w:rPr>
          <w:color w:val="auto"/>
          <w:sz w:val="44"/>
          <w:szCs w:val="20"/>
          <w:highlight w:val="none"/>
        </w:rPr>
      </w:pPr>
    </w:p>
    <w:p w14:paraId="61D0D3E0">
      <w:pPr>
        <w:spacing w:line="480" w:lineRule="auto"/>
        <w:jc w:val="center"/>
        <w:rPr>
          <w:color w:val="auto"/>
          <w:sz w:val="44"/>
          <w:szCs w:val="20"/>
          <w:highlight w:val="none"/>
        </w:rPr>
      </w:pPr>
    </w:p>
    <w:p w14:paraId="6C9169CE">
      <w:pPr>
        <w:spacing w:line="480" w:lineRule="auto"/>
        <w:jc w:val="center"/>
        <w:rPr>
          <w:color w:val="auto"/>
          <w:sz w:val="44"/>
          <w:szCs w:val="20"/>
          <w:highlight w:val="none"/>
        </w:rPr>
      </w:pPr>
    </w:p>
    <w:p w14:paraId="21E8007E">
      <w:pPr>
        <w:spacing w:line="480" w:lineRule="auto"/>
        <w:rPr>
          <w:color w:val="auto"/>
          <w:sz w:val="44"/>
          <w:szCs w:val="20"/>
          <w:highlight w:val="none"/>
        </w:rPr>
      </w:pPr>
    </w:p>
    <w:p w14:paraId="77491222">
      <w:pPr>
        <w:spacing w:line="480" w:lineRule="auto"/>
        <w:rPr>
          <w:color w:val="auto"/>
          <w:sz w:val="44"/>
          <w:szCs w:val="20"/>
          <w:highlight w:val="none"/>
        </w:rPr>
      </w:pPr>
    </w:p>
    <w:p w14:paraId="24ED33B4">
      <w:pPr>
        <w:spacing w:line="480" w:lineRule="auto"/>
        <w:jc w:val="center"/>
        <w:rPr>
          <w:color w:val="auto"/>
          <w:sz w:val="44"/>
          <w:szCs w:val="20"/>
          <w:highlight w:val="none"/>
        </w:rPr>
      </w:pPr>
    </w:p>
    <w:p w14:paraId="5A162DB9">
      <w:pPr>
        <w:spacing w:line="480" w:lineRule="auto"/>
        <w:jc w:val="center"/>
        <w:rPr>
          <w:color w:val="auto"/>
          <w:sz w:val="44"/>
          <w:szCs w:val="20"/>
          <w:highlight w:val="none"/>
        </w:rPr>
      </w:pPr>
    </w:p>
    <w:p w14:paraId="79EE9C40">
      <w:pPr>
        <w:pStyle w:val="2"/>
        <w:jc w:val="both"/>
        <w:rPr>
          <w:color w:val="auto"/>
          <w:highlight w:val="none"/>
        </w:rPr>
      </w:pPr>
    </w:p>
    <w:p w14:paraId="7028D3D0">
      <w:pPr>
        <w:pStyle w:val="2"/>
        <w:rPr>
          <w:color w:val="auto"/>
          <w:sz w:val="32"/>
          <w:szCs w:val="32"/>
          <w:highlight w:val="none"/>
        </w:rPr>
      </w:pPr>
      <w:bookmarkStart w:id="3" w:name="_Toc10244"/>
      <w:bookmarkStart w:id="4" w:name="_Toc7438"/>
      <w:bookmarkStart w:id="5" w:name="_Toc77937042"/>
      <w:r>
        <w:rPr>
          <w:color w:val="auto"/>
          <w:highlight w:val="none"/>
        </w:rPr>
        <w:t>第二章  竞标人须知前附表</w:t>
      </w:r>
      <w:bookmarkEnd w:id="3"/>
      <w:bookmarkEnd w:id="4"/>
      <w:bookmarkEnd w:id="5"/>
    </w:p>
    <w:p w14:paraId="1EBF9D5B">
      <w:pPr>
        <w:spacing w:line="400" w:lineRule="exact"/>
        <w:jc w:val="center"/>
        <w:rPr>
          <w:color w:val="auto"/>
          <w:sz w:val="32"/>
          <w:szCs w:val="32"/>
          <w:highlight w:val="none"/>
        </w:rPr>
      </w:pPr>
    </w:p>
    <w:p w14:paraId="16190C45">
      <w:pPr>
        <w:pStyle w:val="4"/>
        <w:rPr>
          <w:color w:val="auto"/>
          <w:highlight w:val="none"/>
        </w:rPr>
      </w:pPr>
    </w:p>
    <w:p w14:paraId="5B506476">
      <w:pPr>
        <w:rPr>
          <w:color w:val="auto"/>
          <w:highlight w:val="none"/>
        </w:rPr>
      </w:pPr>
    </w:p>
    <w:p w14:paraId="715B53A3">
      <w:pPr>
        <w:pStyle w:val="4"/>
        <w:rPr>
          <w:color w:val="auto"/>
          <w:highlight w:val="none"/>
        </w:rPr>
      </w:pPr>
    </w:p>
    <w:p w14:paraId="280854EA">
      <w:pPr>
        <w:rPr>
          <w:color w:val="auto"/>
          <w:highlight w:val="none"/>
        </w:rPr>
      </w:pPr>
    </w:p>
    <w:p w14:paraId="301FB519">
      <w:pPr>
        <w:pStyle w:val="4"/>
        <w:rPr>
          <w:color w:val="auto"/>
          <w:highlight w:val="none"/>
        </w:rPr>
      </w:pPr>
    </w:p>
    <w:p w14:paraId="7A55A9EF">
      <w:pPr>
        <w:spacing w:line="400" w:lineRule="exact"/>
        <w:jc w:val="center"/>
        <w:rPr>
          <w:b/>
          <w:bCs/>
          <w:color w:val="auto"/>
          <w:sz w:val="32"/>
          <w:szCs w:val="32"/>
          <w:highlight w:val="none"/>
        </w:rPr>
      </w:pPr>
      <w:r>
        <w:rPr>
          <w:b/>
          <w:bCs/>
          <w:color w:val="auto"/>
          <w:sz w:val="32"/>
          <w:szCs w:val="32"/>
          <w:highlight w:val="none"/>
        </w:rPr>
        <w:br w:type="page"/>
      </w:r>
    </w:p>
    <w:p w14:paraId="39C9F7B8">
      <w:pPr>
        <w:spacing w:line="400" w:lineRule="exact"/>
        <w:jc w:val="center"/>
        <w:rPr>
          <w:b/>
          <w:bCs/>
          <w:color w:val="auto"/>
          <w:sz w:val="32"/>
          <w:szCs w:val="32"/>
          <w:highlight w:val="none"/>
        </w:rPr>
      </w:pPr>
      <w:r>
        <w:rPr>
          <w:b/>
          <w:bCs/>
          <w:color w:val="auto"/>
          <w:sz w:val="32"/>
          <w:szCs w:val="32"/>
          <w:highlight w:val="none"/>
        </w:rPr>
        <w:t>竞标人须知前附表</w:t>
      </w:r>
    </w:p>
    <w:p w14:paraId="695CD9D5">
      <w:pPr>
        <w:spacing w:line="400" w:lineRule="exact"/>
        <w:jc w:val="center"/>
        <w:rPr>
          <w:color w:val="auto"/>
          <w:sz w:val="32"/>
          <w:szCs w:val="32"/>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06"/>
      </w:tblGrid>
      <w:tr w14:paraId="614A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26" w:type="dxa"/>
            <w:noWrap w:val="0"/>
            <w:vAlign w:val="top"/>
          </w:tcPr>
          <w:p w14:paraId="44D0B195">
            <w:pPr>
              <w:pStyle w:val="259"/>
              <w:spacing w:line="300" w:lineRule="exact"/>
              <w:jc w:val="center"/>
              <w:rPr>
                <w:rFonts w:ascii="Times New Roman" w:hAnsi="Times New Roman"/>
                <w:color w:val="auto"/>
                <w:highlight w:val="none"/>
              </w:rPr>
            </w:pPr>
            <w:r>
              <w:rPr>
                <w:rFonts w:ascii="Times New Roman" w:hAnsi="Times New Roman"/>
                <w:color w:val="auto"/>
                <w:highlight w:val="none"/>
              </w:rPr>
              <w:t>序号</w:t>
            </w:r>
          </w:p>
        </w:tc>
        <w:tc>
          <w:tcPr>
            <w:tcW w:w="8106" w:type="dxa"/>
            <w:noWrap w:val="0"/>
            <w:vAlign w:val="top"/>
          </w:tcPr>
          <w:p w14:paraId="1C390C24">
            <w:pPr>
              <w:pStyle w:val="259"/>
              <w:spacing w:line="300" w:lineRule="exact"/>
              <w:jc w:val="center"/>
              <w:rPr>
                <w:rFonts w:ascii="Times New Roman" w:hAnsi="Times New Roman"/>
                <w:color w:val="auto"/>
                <w:highlight w:val="none"/>
              </w:rPr>
            </w:pPr>
            <w:r>
              <w:rPr>
                <w:rFonts w:ascii="Times New Roman" w:hAnsi="Times New Roman"/>
                <w:color w:val="auto"/>
                <w:highlight w:val="none"/>
              </w:rPr>
              <w:t>内    容</w:t>
            </w:r>
          </w:p>
        </w:tc>
      </w:tr>
      <w:tr w14:paraId="5797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14:paraId="6B927991">
            <w:pPr>
              <w:pStyle w:val="259"/>
              <w:spacing w:line="300" w:lineRule="exact"/>
              <w:jc w:val="center"/>
              <w:rPr>
                <w:rFonts w:ascii="Times New Roman" w:hAnsi="Times New Roman"/>
                <w:color w:val="auto"/>
                <w:highlight w:val="none"/>
              </w:rPr>
            </w:pPr>
            <w:r>
              <w:rPr>
                <w:rFonts w:ascii="Times New Roman" w:hAnsi="Times New Roman"/>
                <w:color w:val="auto"/>
                <w:highlight w:val="none"/>
              </w:rPr>
              <w:t>1</w:t>
            </w:r>
          </w:p>
        </w:tc>
        <w:tc>
          <w:tcPr>
            <w:tcW w:w="8106" w:type="dxa"/>
            <w:noWrap w:val="0"/>
            <w:vAlign w:val="center"/>
          </w:tcPr>
          <w:p w14:paraId="42A4FA2D">
            <w:pPr>
              <w:pStyle w:val="23"/>
              <w:rPr>
                <w:rFonts w:hint="eastAsia" w:ascii="Times New Roman" w:hAnsi="Times New Roman" w:eastAsia="宋体" w:cs="Times New Roman"/>
                <w:color w:val="auto"/>
                <w:highlight w:val="none"/>
              </w:rPr>
            </w:pPr>
            <w:r>
              <w:rPr>
                <w:rFonts w:ascii="Times New Roman" w:hAnsi="Times New Roman" w:cs="Times New Roman"/>
                <w:color w:val="auto"/>
                <w:highlight w:val="none"/>
              </w:rPr>
              <w:t>项目名称：</w:t>
            </w:r>
            <w:r>
              <w:rPr>
                <w:rFonts w:hint="eastAsia" w:ascii="Times New Roman" w:hAnsi="Times New Roman" w:cs="Times New Roman"/>
                <w:color w:val="auto"/>
                <w:highlight w:val="none"/>
                <w:lang w:val="en-US" w:eastAsia="zh-CN"/>
              </w:rPr>
              <w:t>中国—东盟经贸中心新媒体代运营项目</w:t>
            </w:r>
          </w:p>
          <w:p w14:paraId="7FDDCA6C">
            <w:pPr>
              <w:pStyle w:val="23"/>
              <w:rPr>
                <w:rFonts w:ascii="Times New Roman" w:hAnsi="Times New Roman" w:cs="Times New Roman"/>
                <w:color w:val="auto"/>
                <w:highlight w:val="none"/>
              </w:rPr>
            </w:pPr>
            <w:r>
              <w:rPr>
                <w:rFonts w:ascii="Times New Roman" w:hAnsi="Times New Roman" w:cs="Times New Roman"/>
                <w:color w:val="auto"/>
                <w:highlight w:val="none"/>
              </w:rPr>
              <w:t>竞标内容：详见本标书第三章采购项目需求</w:t>
            </w:r>
          </w:p>
        </w:tc>
      </w:tr>
      <w:tr w14:paraId="6689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726" w:type="dxa"/>
            <w:noWrap w:val="0"/>
            <w:vAlign w:val="center"/>
          </w:tcPr>
          <w:p w14:paraId="66EFB610">
            <w:pPr>
              <w:pStyle w:val="259"/>
              <w:spacing w:line="300" w:lineRule="exact"/>
              <w:jc w:val="center"/>
              <w:rPr>
                <w:rFonts w:ascii="Times New Roman" w:hAnsi="Times New Roman"/>
                <w:color w:val="auto"/>
                <w:highlight w:val="none"/>
              </w:rPr>
            </w:pPr>
            <w:r>
              <w:rPr>
                <w:rFonts w:ascii="Times New Roman" w:hAnsi="Times New Roman"/>
                <w:color w:val="auto"/>
                <w:highlight w:val="none"/>
              </w:rPr>
              <w:t>2</w:t>
            </w:r>
          </w:p>
        </w:tc>
        <w:tc>
          <w:tcPr>
            <w:tcW w:w="8106" w:type="dxa"/>
            <w:noWrap w:val="0"/>
            <w:vAlign w:val="center"/>
          </w:tcPr>
          <w:p w14:paraId="55AB9B5C">
            <w:pPr>
              <w:pStyle w:val="23"/>
              <w:snapToGrid w:val="0"/>
              <w:spacing w:line="300" w:lineRule="exact"/>
              <w:rPr>
                <w:rFonts w:hint="eastAsia" w:ascii="Times New Roman" w:hAnsi="Times New Roman" w:cs="Times New Roman"/>
                <w:color w:val="auto"/>
                <w:szCs w:val="20"/>
                <w:highlight w:val="none"/>
                <w:lang w:val="en-US" w:eastAsia="zh-CN"/>
              </w:rPr>
            </w:pPr>
            <w:r>
              <w:rPr>
                <w:rFonts w:ascii="Times New Roman" w:hAnsi="Times New Roman" w:cs="Times New Roman"/>
                <w:color w:val="auto"/>
                <w:szCs w:val="20"/>
                <w:highlight w:val="none"/>
              </w:rPr>
              <w:t>竞标人资格：</w:t>
            </w:r>
            <w:r>
              <w:rPr>
                <w:rFonts w:hint="default" w:ascii="Times New Roman" w:hAnsi="Times New Roman" w:cs="Times New Roman"/>
                <w:color w:val="auto"/>
                <w:szCs w:val="20"/>
                <w:highlight w:val="none"/>
              </w:rPr>
              <w:br w:type="textWrapping"/>
            </w:r>
            <w:r>
              <w:rPr>
                <w:rFonts w:hint="default" w:ascii="Times New Roman" w:hAnsi="Times New Roman" w:cs="Times New Roman"/>
                <w:color w:val="auto"/>
                <w:szCs w:val="20"/>
                <w:highlight w:val="none"/>
              </w:rPr>
              <w:t>1. 国内注册（指按国家有关规定要求注册的），经营范围满足本项目采购服务内容要求或资质，具备法人资格的竞标人；</w:t>
            </w:r>
            <w:r>
              <w:rPr>
                <w:rFonts w:hint="default" w:ascii="Times New Roman" w:hAnsi="Times New Roman" w:cs="Times New Roman"/>
                <w:color w:val="auto"/>
                <w:szCs w:val="20"/>
                <w:highlight w:val="none"/>
              </w:rPr>
              <w:br w:type="textWrapping"/>
            </w:r>
            <w:r>
              <w:rPr>
                <w:rFonts w:hint="default" w:ascii="Times New Roman" w:hAnsi="Times New Roman" w:cs="Times New Roman"/>
                <w:color w:val="auto"/>
                <w:szCs w:val="20"/>
                <w:highlight w:val="none"/>
              </w:rPr>
              <w:t>2. 诚实守信，近五年内在经营活动中无违法及不良诚信记录</w:t>
            </w:r>
            <w:r>
              <w:rPr>
                <w:rFonts w:hint="eastAsia" w:ascii="Times New Roman" w:hAnsi="Times New Roman" w:cs="Times New Roman"/>
                <w:color w:val="auto"/>
                <w:szCs w:val="20"/>
                <w:highlight w:val="none"/>
                <w:lang w:eastAsia="zh-CN"/>
              </w:rPr>
              <w:t>，</w:t>
            </w:r>
            <w:r>
              <w:rPr>
                <w:rFonts w:hint="eastAsia" w:ascii="Times New Roman" w:hAnsi="Times New Roman" w:cs="Times New Roman"/>
                <w:color w:val="auto"/>
                <w:szCs w:val="20"/>
                <w:highlight w:val="none"/>
                <w:lang w:val="en-US" w:eastAsia="zh-CN"/>
              </w:rPr>
              <w:t>无重大负面舆情</w:t>
            </w:r>
            <w:r>
              <w:rPr>
                <w:rFonts w:hint="default" w:ascii="Times New Roman" w:hAnsi="Times New Roman" w:cs="Times New Roman"/>
                <w:color w:val="auto"/>
                <w:szCs w:val="20"/>
                <w:highlight w:val="none"/>
              </w:rPr>
              <w:t>；</w:t>
            </w:r>
            <w:r>
              <w:rPr>
                <w:rFonts w:hint="default" w:ascii="Times New Roman" w:hAnsi="Times New Roman" w:cs="Times New Roman"/>
                <w:color w:val="auto"/>
                <w:szCs w:val="20"/>
                <w:highlight w:val="none"/>
              </w:rPr>
              <w:br w:type="textWrapping"/>
            </w:r>
            <w:r>
              <w:rPr>
                <w:rFonts w:hint="default" w:ascii="Times New Roman" w:hAnsi="Times New Roman" w:cs="Times New Roman"/>
                <w:color w:val="auto"/>
                <w:szCs w:val="20"/>
                <w:highlight w:val="none"/>
              </w:rPr>
              <w:t>3. 本项目的特定资格要求：</w:t>
            </w:r>
            <w:r>
              <w:rPr>
                <w:rFonts w:hint="default" w:ascii="Times New Roman" w:hAnsi="Times New Roman" w:cs="Times New Roman"/>
                <w:color w:val="auto"/>
                <w:szCs w:val="20"/>
                <w:highlight w:val="none"/>
              </w:rPr>
              <w:br w:type="textWrapping"/>
            </w:r>
            <w:r>
              <w:rPr>
                <w:rFonts w:hint="default" w:ascii="Times New Roman" w:hAnsi="Times New Roman" w:cs="Times New Roman"/>
                <w:color w:val="auto"/>
                <w:szCs w:val="20"/>
                <w:highlight w:val="none"/>
              </w:rPr>
              <w:t>（1）具有广告经营许可证、互联网信息服务资质（如 ICP 备案）等相关行业资质（</w:t>
            </w:r>
            <w:r>
              <w:rPr>
                <w:rFonts w:hint="default" w:ascii="Times New Roman" w:hAnsi="Times New Roman" w:cs="Times New Roman"/>
                <w:color w:val="auto"/>
                <w:szCs w:val="20"/>
                <w:highlight w:val="none"/>
                <w:lang w:val="en-US" w:eastAsia="zh-CN"/>
              </w:rPr>
              <w:t>营业执照经营范围包含 “</w:t>
            </w:r>
            <w:r>
              <w:rPr>
                <w:rFonts w:hint="eastAsia" w:ascii="Times New Roman" w:hAnsi="Times New Roman" w:cs="Times New Roman"/>
                <w:color w:val="auto"/>
                <w:szCs w:val="20"/>
                <w:highlight w:val="none"/>
                <w:lang w:val="en-US" w:eastAsia="zh-CN"/>
              </w:rPr>
              <w:t>新媒体运营</w:t>
            </w:r>
            <w:r>
              <w:rPr>
                <w:rFonts w:hint="default" w:ascii="Times New Roman" w:hAnsi="Times New Roman" w:cs="Times New Roman"/>
                <w:color w:val="auto"/>
                <w:szCs w:val="20"/>
                <w:highlight w:val="none"/>
                <w:lang w:val="en-US" w:eastAsia="zh-CN"/>
              </w:rPr>
              <w:t>”</w:t>
            </w:r>
            <w:r>
              <w:rPr>
                <w:rFonts w:hint="eastAsia" w:ascii="Times New Roman" w:hAnsi="Times New Roman" w:cs="Times New Roman"/>
                <w:color w:val="auto"/>
                <w:szCs w:val="20"/>
                <w:highlight w:val="none"/>
                <w:lang w:val="en-US" w:eastAsia="zh-CN"/>
              </w:rPr>
              <w:t>或</w:t>
            </w:r>
            <w:r>
              <w:rPr>
                <w:rFonts w:hint="default" w:ascii="Times New Roman" w:hAnsi="Times New Roman" w:cs="Times New Roman"/>
                <w:color w:val="auto"/>
                <w:szCs w:val="20"/>
                <w:highlight w:val="none"/>
                <w:lang w:val="en-US" w:eastAsia="zh-CN"/>
              </w:rPr>
              <w:t>“广告设计”</w:t>
            </w:r>
            <w:r>
              <w:rPr>
                <w:rFonts w:hint="eastAsia" w:ascii="Times New Roman" w:hAnsi="Times New Roman" w:cs="Times New Roman"/>
                <w:color w:val="auto"/>
                <w:szCs w:val="20"/>
                <w:highlight w:val="none"/>
                <w:lang w:val="en-US" w:eastAsia="zh-CN"/>
              </w:rPr>
              <w:t>“广告制作”</w:t>
            </w:r>
            <w:r>
              <w:rPr>
                <w:rFonts w:hint="default" w:ascii="Times New Roman" w:hAnsi="Times New Roman" w:cs="Times New Roman"/>
                <w:color w:val="auto"/>
                <w:szCs w:val="20"/>
                <w:highlight w:val="none"/>
                <w:lang w:val="en-US" w:eastAsia="zh-CN"/>
              </w:rPr>
              <w:t xml:space="preserve"> 等相关类目</w:t>
            </w:r>
            <w:r>
              <w:rPr>
                <w:rFonts w:hint="default" w:ascii="Times New Roman" w:hAnsi="Times New Roman" w:cs="Times New Roman"/>
                <w:color w:val="auto"/>
                <w:szCs w:val="20"/>
                <w:highlight w:val="none"/>
              </w:rPr>
              <w:t>）；</w:t>
            </w:r>
            <w:r>
              <w:rPr>
                <w:rFonts w:hint="default" w:ascii="Times New Roman" w:hAnsi="Times New Roman" w:cs="Times New Roman"/>
                <w:color w:val="auto"/>
                <w:szCs w:val="20"/>
                <w:highlight w:val="none"/>
              </w:rPr>
              <w:br w:type="textWrapping"/>
            </w:r>
            <w:r>
              <w:rPr>
                <w:rFonts w:hint="default" w:ascii="Times New Roman" w:hAnsi="Times New Roman" w:cs="Times New Roman"/>
                <w:color w:val="auto"/>
                <w:szCs w:val="20"/>
                <w:highlight w:val="none"/>
              </w:rPr>
              <w:t xml:space="preserve">（2）拟派项目负责人须具备 </w:t>
            </w:r>
            <w:r>
              <w:rPr>
                <w:rFonts w:hint="eastAsia" w:ascii="Times New Roman" w:hAnsi="Times New Roman" w:cs="Times New Roman"/>
                <w:color w:val="auto"/>
                <w:szCs w:val="20"/>
                <w:highlight w:val="none"/>
                <w:lang w:val="en-US" w:eastAsia="zh-CN"/>
              </w:rPr>
              <w:t>2</w:t>
            </w:r>
            <w:r>
              <w:rPr>
                <w:rFonts w:hint="default" w:ascii="Times New Roman" w:hAnsi="Times New Roman" w:cs="Times New Roman"/>
                <w:color w:val="auto"/>
                <w:szCs w:val="20"/>
                <w:highlight w:val="none"/>
              </w:rPr>
              <w:t xml:space="preserve"> 年及以上自媒体代运营项目管理经验，</w:t>
            </w:r>
            <w:r>
              <w:rPr>
                <w:rFonts w:hint="eastAsia" w:ascii="Times New Roman" w:hAnsi="Times New Roman" w:cs="Times New Roman"/>
                <w:color w:val="auto"/>
                <w:szCs w:val="20"/>
                <w:highlight w:val="none"/>
                <w:lang w:val="en-US" w:eastAsia="zh-CN"/>
              </w:rPr>
              <w:t>具备新媒体平台投放经验，</w:t>
            </w:r>
            <w:r>
              <w:rPr>
                <w:rFonts w:hint="default" w:ascii="Times New Roman" w:hAnsi="Times New Roman" w:cs="Times New Roman"/>
                <w:color w:val="auto"/>
                <w:szCs w:val="20"/>
                <w:highlight w:val="none"/>
              </w:rPr>
              <w:t>且</w:t>
            </w:r>
            <w:r>
              <w:rPr>
                <w:rFonts w:hint="eastAsia" w:ascii="Times New Roman" w:hAnsi="Times New Roman" w:cs="Times New Roman"/>
                <w:color w:val="auto"/>
                <w:szCs w:val="20"/>
                <w:highlight w:val="none"/>
                <w:lang w:val="en-US" w:eastAsia="zh-CN"/>
              </w:rPr>
              <w:t>服务政府机构、经贸组织、涉外企业、大型国企、央企、事业单位、大型企业、个人IP打造的至少 3 个成功案例（需提供合同证明或账号后台数据）；</w:t>
            </w:r>
          </w:p>
          <w:p w14:paraId="5136EC98">
            <w:pPr>
              <w:pStyle w:val="23"/>
              <w:snapToGrid w:val="0"/>
              <w:spacing w:line="300" w:lineRule="exact"/>
              <w:rPr>
                <w:rFonts w:ascii="Times New Roman" w:hAnsi="Times New Roman" w:cs="Times New Roman"/>
                <w:color w:val="auto"/>
                <w:szCs w:val="20"/>
                <w:highlight w:val="none"/>
              </w:rPr>
            </w:pPr>
            <w:r>
              <w:rPr>
                <w:rFonts w:hint="eastAsia" w:ascii="Times New Roman" w:hAnsi="Times New Roman" w:cs="Times New Roman"/>
                <w:color w:val="auto"/>
                <w:szCs w:val="20"/>
                <w:highlight w:val="none"/>
                <w:lang w:val="en-US" w:eastAsia="zh-CN"/>
              </w:rPr>
              <w:t>（3）为本项目单独设立专业运营团队，在职人数人数不得低于5人，团队组成包括项目总监、编导、摄像、剪辑、文案等专业人员</w:t>
            </w:r>
            <w:r>
              <w:rPr>
                <w:rFonts w:hint="default" w:ascii="Times New Roman" w:hAnsi="Times New Roman" w:cs="Times New Roman"/>
                <w:color w:val="auto"/>
                <w:szCs w:val="20"/>
                <w:highlight w:val="none"/>
              </w:rPr>
              <w:t>；</w:t>
            </w:r>
            <w:r>
              <w:rPr>
                <w:rFonts w:hint="default" w:ascii="Times New Roman" w:hAnsi="Times New Roman" w:cs="Times New Roman"/>
                <w:color w:val="auto"/>
                <w:szCs w:val="20"/>
                <w:highlight w:val="none"/>
              </w:rPr>
              <w:br w:type="textWrapping"/>
            </w:r>
            <w:r>
              <w:rPr>
                <w:rFonts w:hint="default" w:ascii="Times New Roman" w:hAnsi="Times New Roman" w:cs="Times New Roman"/>
                <w:color w:val="auto"/>
                <w:szCs w:val="20"/>
                <w:highlight w:val="none"/>
              </w:rPr>
              <w:t>4. 单位负责人为同一人或者存在直接控股、管理关系的不同竞标人，不得参加同一合同项下的采购活动；</w:t>
            </w:r>
            <w:r>
              <w:rPr>
                <w:rFonts w:hint="default" w:ascii="Times New Roman" w:hAnsi="Times New Roman" w:cs="Times New Roman"/>
                <w:color w:val="auto"/>
                <w:szCs w:val="20"/>
                <w:highlight w:val="none"/>
              </w:rPr>
              <w:br w:type="textWrapping"/>
            </w:r>
            <w:r>
              <w:rPr>
                <w:rFonts w:hint="default" w:ascii="Times New Roman" w:hAnsi="Times New Roman" w:cs="Times New Roman"/>
                <w:color w:val="auto"/>
                <w:szCs w:val="20"/>
                <w:highlight w:val="none"/>
              </w:rPr>
              <w:t>5. 对在“信用中国” 网站 (</w:t>
            </w:r>
            <w:r>
              <w:rPr>
                <w:rFonts w:hint="default" w:ascii="Times New Roman" w:hAnsi="Times New Roman" w:cs="Times New Roman"/>
                <w:color w:val="auto"/>
                <w:szCs w:val="20"/>
                <w:highlight w:val="none"/>
              </w:rPr>
              <w:fldChar w:fldCharType="begin"/>
            </w:r>
            <w:r>
              <w:rPr>
                <w:rFonts w:hint="default" w:ascii="Times New Roman" w:hAnsi="Times New Roman" w:cs="Times New Roman"/>
                <w:color w:val="auto"/>
                <w:szCs w:val="20"/>
                <w:highlight w:val="none"/>
              </w:rPr>
              <w:instrText xml:space="preserve"> HYPERLINK "https://www.creditchina.gov.cn/" \t "https://www.doubao.com/chat/_blank" </w:instrText>
            </w:r>
            <w:r>
              <w:rPr>
                <w:rFonts w:hint="default" w:ascii="Times New Roman" w:hAnsi="Times New Roman" w:cs="Times New Roman"/>
                <w:color w:val="auto"/>
                <w:szCs w:val="20"/>
                <w:highlight w:val="none"/>
              </w:rPr>
              <w:fldChar w:fldCharType="separate"/>
            </w:r>
            <w:r>
              <w:rPr>
                <w:rFonts w:hint="default" w:ascii="Times New Roman" w:hAnsi="Times New Roman" w:cs="Times New Roman"/>
                <w:color w:val="auto"/>
                <w:szCs w:val="20"/>
                <w:highlight w:val="none"/>
              </w:rPr>
              <w:t>www.creditchina.gov.cn</w:t>
            </w:r>
            <w:r>
              <w:rPr>
                <w:rFonts w:hint="default" w:ascii="Times New Roman" w:hAnsi="Times New Roman" w:cs="Times New Roman"/>
                <w:color w:val="auto"/>
                <w:szCs w:val="20"/>
                <w:highlight w:val="none"/>
              </w:rPr>
              <w:fldChar w:fldCharType="end"/>
            </w:r>
            <w:r>
              <w:rPr>
                <w:rFonts w:hint="default" w:ascii="Times New Roman" w:hAnsi="Times New Roman" w:cs="Times New Roman"/>
                <w:color w:val="auto"/>
                <w:szCs w:val="20"/>
                <w:highlight w:val="none"/>
              </w:rPr>
              <w:t>)、中国政府采购网 (</w:t>
            </w:r>
            <w:r>
              <w:rPr>
                <w:rFonts w:hint="default" w:ascii="Times New Roman" w:hAnsi="Times New Roman" w:cs="Times New Roman"/>
                <w:color w:val="auto"/>
                <w:szCs w:val="20"/>
                <w:highlight w:val="none"/>
              </w:rPr>
              <w:fldChar w:fldCharType="begin"/>
            </w:r>
            <w:r>
              <w:rPr>
                <w:rFonts w:hint="default" w:ascii="Times New Roman" w:hAnsi="Times New Roman" w:cs="Times New Roman"/>
                <w:color w:val="auto"/>
                <w:szCs w:val="20"/>
                <w:highlight w:val="none"/>
              </w:rPr>
              <w:instrText xml:space="preserve"> HYPERLINK "https://www.ccgp.gov.cn/" \t "https://www.doubao.com/chat/_blank" </w:instrText>
            </w:r>
            <w:r>
              <w:rPr>
                <w:rFonts w:hint="default" w:ascii="Times New Roman" w:hAnsi="Times New Roman" w:cs="Times New Roman"/>
                <w:color w:val="auto"/>
                <w:szCs w:val="20"/>
                <w:highlight w:val="none"/>
              </w:rPr>
              <w:fldChar w:fldCharType="separate"/>
            </w:r>
            <w:r>
              <w:rPr>
                <w:rFonts w:hint="default" w:ascii="Times New Roman" w:hAnsi="Times New Roman" w:cs="Times New Roman"/>
                <w:color w:val="auto"/>
                <w:szCs w:val="20"/>
                <w:highlight w:val="none"/>
              </w:rPr>
              <w:t>www.ccgp.gov.cn</w:t>
            </w:r>
            <w:r>
              <w:rPr>
                <w:rFonts w:hint="default" w:ascii="Times New Roman" w:hAnsi="Times New Roman" w:cs="Times New Roman"/>
                <w:color w:val="auto"/>
                <w:szCs w:val="20"/>
                <w:highlight w:val="none"/>
              </w:rPr>
              <w:fldChar w:fldCharType="end"/>
            </w:r>
            <w:r>
              <w:rPr>
                <w:rFonts w:hint="default" w:ascii="Times New Roman" w:hAnsi="Times New Roman" w:cs="Times New Roman"/>
                <w:color w:val="auto"/>
                <w:szCs w:val="20"/>
                <w:highlight w:val="none"/>
              </w:rPr>
              <w:t>) 列入失信被执行人、重大税收违法案件当事人名单、政府采购严重违法失信行为记录名单供应商，不得参与本次采购活动。</w:t>
            </w:r>
          </w:p>
        </w:tc>
      </w:tr>
      <w:tr w14:paraId="6BF4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26" w:type="dxa"/>
            <w:noWrap w:val="0"/>
            <w:vAlign w:val="center"/>
          </w:tcPr>
          <w:p w14:paraId="1BCE74A2">
            <w:pPr>
              <w:pStyle w:val="259"/>
              <w:spacing w:line="300" w:lineRule="exact"/>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3</w:t>
            </w:r>
          </w:p>
        </w:tc>
        <w:tc>
          <w:tcPr>
            <w:tcW w:w="8106" w:type="dxa"/>
            <w:noWrap w:val="0"/>
            <w:vAlign w:val="center"/>
          </w:tcPr>
          <w:p w14:paraId="726E2EED">
            <w:pPr>
              <w:pStyle w:val="259"/>
              <w:spacing w:line="300" w:lineRule="exact"/>
              <w:rPr>
                <w:rFonts w:ascii="Times New Roman" w:hAnsi="Times New Roman"/>
                <w:color w:val="auto"/>
                <w:highlight w:val="none"/>
              </w:rPr>
            </w:pPr>
            <w:r>
              <w:rPr>
                <w:rFonts w:ascii="Times New Roman" w:hAnsi="Times New Roman"/>
                <w:color w:val="auto"/>
                <w:highlight w:val="none"/>
              </w:rPr>
              <w:t>报价：竞标人须就《项目采购需求资料表》中所有采购服务内容作完整报价。</w:t>
            </w:r>
          </w:p>
          <w:p w14:paraId="23754446">
            <w:pPr>
              <w:pStyle w:val="23"/>
              <w:rPr>
                <w:rFonts w:hint="eastAsia" w:ascii="Times New Roman" w:hAnsi="Times New Roman" w:cs="Times New Roman"/>
                <w:color w:val="auto"/>
                <w:highlight w:val="none"/>
              </w:rPr>
            </w:pPr>
            <w:r>
              <w:rPr>
                <w:rFonts w:hint="eastAsia" w:ascii="Times New Roman" w:hAnsi="Times New Roman" w:cs="Times New Roman"/>
                <w:color w:val="auto"/>
                <w:highlight w:val="none"/>
                <w:lang w:val="en-US" w:eastAsia="zh-CN"/>
              </w:rPr>
              <w:t>最高限</w:t>
            </w:r>
            <w:r>
              <w:rPr>
                <w:rFonts w:ascii="Times New Roman" w:hAnsi="Times New Roman" w:cs="Times New Roman"/>
                <w:color w:val="auto"/>
                <w:highlight w:val="none"/>
              </w:rPr>
              <w:t>价（人</w:t>
            </w:r>
            <w:r>
              <w:rPr>
                <w:rFonts w:ascii="Times New Roman" w:hAnsi="Times New Roman" w:eastAsia="宋体" w:cs="Times New Roman"/>
                <w:color w:val="auto"/>
                <w:kern w:val="2"/>
                <w:sz w:val="21"/>
                <w:szCs w:val="20"/>
                <w:highlight w:val="none"/>
                <w:lang w:val="en-US" w:eastAsia="zh-CN" w:bidi="ar-SA"/>
              </w:rPr>
              <w:t>民币）：</w:t>
            </w:r>
            <w:r>
              <w:rPr>
                <w:rFonts w:hint="eastAsia" w:ascii="Times New Roman" w:hAnsi="Times New Roman" w:cs="Times New Roman"/>
                <w:color w:val="auto"/>
                <w:kern w:val="2"/>
                <w:sz w:val="21"/>
                <w:szCs w:val="20"/>
                <w:highlight w:val="none"/>
                <w:lang w:val="en-US" w:eastAsia="zh-CN" w:bidi="ar-SA"/>
              </w:rPr>
              <w:t>壹拾捌万</w:t>
            </w:r>
            <w:r>
              <w:rPr>
                <w:rFonts w:ascii="Times New Roman" w:hAnsi="Times New Roman" w:eastAsia="宋体" w:cs="Times New Roman"/>
                <w:color w:val="auto"/>
                <w:kern w:val="2"/>
                <w:sz w:val="21"/>
                <w:szCs w:val="20"/>
                <w:highlight w:val="none"/>
                <w:lang w:val="en-US" w:eastAsia="zh-CN" w:bidi="ar-SA"/>
              </w:rPr>
              <w:t>元整（￥</w:t>
            </w:r>
            <w:r>
              <w:rPr>
                <w:rFonts w:hint="eastAsia" w:ascii="Times New Roman" w:hAnsi="Times New Roman" w:cs="Times New Roman"/>
                <w:color w:val="auto"/>
                <w:kern w:val="2"/>
                <w:sz w:val="21"/>
                <w:szCs w:val="20"/>
                <w:highlight w:val="none"/>
                <w:lang w:val="en-US" w:eastAsia="zh-CN" w:bidi="ar-SA"/>
              </w:rPr>
              <w:t>180000</w:t>
            </w:r>
            <w:r>
              <w:rPr>
                <w:rFonts w:hint="eastAsia" w:ascii="Times New Roman" w:hAnsi="Times New Roman" w:eastAsia="宋体" w:cs="Times New Roman"/>
                <w:color w:val="auto"/>
                <w:kern w:val="2"/>
                <w:sz w:val="21"/>
                <w:szCs w:val="20"/>
                <w:highlight w:val="none"/>
                <w:lang w:val="en-US" w:eastAsia="zh-CN" w:bidi="ar-SA"/>
              </w:rPr>
              <w:t>.00</w:t>
            </w:r>
            <w:r>
              <w:rPr>
                <w:rFonts w:ascii="Times New Roman" w:hAnsi="Times New Roman" w:eastAsia="宋体" w:cs="Times New Roman"/>
                <w:color w:val="auto"/>
                <w:kern w:val="2"/>
                <w:sz w:val="21"/>
                <w:szCs w:val="20"/>
                <w:highlight w:val="none"/>
                <w:lang w:val="en-US" w:eastAsia="zh-CN" w:bidi="ar-SA"/>
              </w:rPr>
              <w:t>），最后报价超过</w:t>
            </w:r>
            <w:r>
              <w:rPr>
                <w:rFonts w:hint="eastAsia" w:ascii="Times New Roman" w:hAnsi="Times New Roman" w:eastAsia="宋体" w:cs="Times New Roman"/>
                <w:color w:val="auto"/>
                <w:kern w:val="2"/>
                <w:sz w:val="21"/>
                <w:szCs w:val="20"/>
                <w:highlight w:val="none"/>
                <w:lang w:val="en-US" w:eastAsia="zh-CN" w:bidi="ar-SA"/>
              </w:rPr>
              <w:t>限价</w:t>
            </w:r>
            <w:r>
              <w:rPr>
                <w:rFonts w:ascii="Times New Roman" w:hAnsi="Times New Roman" w:eastAsia="宋体" w:cs="Times New Roman"/>
                <w:color w:val="auto"/>
                <w:kern w:val="2"/>
                <w:sz w:val="21"/>
                <w:szCs w:val="20"/>
                <w:highlight w:val="none"/>
                <w:lang w:val="en-US" w:eastAsia="zh-CN" w:bidi="ar-SA"/>
              </w:rPr>
              <w:t>的为无效竞标</w:t>
            </w:r>
            <w:r>
              <w:rPr>
                <w:rFonts w:hint="eastAsia" w:ascii="Times New Roman" w:hAnsi="Times New Roman" w:eastAsia="宋体" w:cs="Times New Roman"/>
                <w:color w:val="auto"/>
                <w:kern w:val="2"/>
                <w:sz w:val="21"/>
                <w:szCs w:val="20"/>
                <w:highlight w:val="none"/>
                <w:lang w:val="en-US" w:eastAsia="zh-CN" w:bidi="ar-SA"/>
              </w:rPr>
              <w:t>。</w:t>
            </w:r>
          </w:p>
        </w:tc>
      </w:tr>
      <w:tr w14:paraId="245C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26" w:type="dxa"/>
            <w:noWrap w:val="0"/>
            <w:vAlign w:val="center"/>
          </w:tcPr>
          <w:p w14:paraId="13A6885B">
            <w:pPr>
              <w:pStyle w:val="259"/>
              <w:spacing w:line="300" w:lineRule="exact"/>
              <w:jc w:val="center"/>
              <w:rPr>
                <w:rFonts w:ascii="Times New Roman" w:hAnsi="Times New Roman"/>
                <w:color w:val="auto"/>
                <w:highlight w:val="none"/>
              </w:rPr>
            </w:pPr>
            <w:r>
              <w:rPr>
                <w:rFonts w:ascii="Times New Roman" w:hAnsi="Times New Roman"/>
                <w:color w:val="auto"/>
                <w:highlight w:val="none"/>
              </w:rPr>
              <w:t>4</w:t>
            </w:r>
          </w:p>
        </w:tc>
        <w:tc>
          <w:tcPr>
            <w:tcW w:w="8106" w:type="dxa"/>
            <w:noWrap w:val="0"/>
            <w:vAlign w:val="center"/>
          </w:tcPr>
          <w:p w14:paraId="6037E95A">
            <w:pPr>
              <w:pStyle w:val="23"/>
              <w:spacing w:line="300" w:lineRule="exact"/>
              <w:rPr>
                <w:rFonts w:ascii="Times New Roman" w:hAnsi="Times New Roman" w:cs="Times New Roman"/>
                <w:color w:val="auto"/>
                <w:highlight w:val="none"/>
              </w:rPr>
            </w:pPr>
            <w:r>
              <w:rPr>
                <w:rFonts w:ascii="Times New Roman" w:hAnsi="Times New Roman" w:cs="Times New Roman"/>
                <w:color w:val="auto"/>
                <w:highlight w:val="none"/>
              </w:rPr>
              <w:t>磋商响应文件：正本一份；副本二份。</w:t>
            </w:r>
          </w:p>
        </w:tc>
      </w:tr>
      <w:tr w14:paraId="3800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26" w:type="dxa"/>
            <w:noWrap w:val="0"/>
            <w:vAlign w:val="center"/>
          </w:tcPr>
          <w:p w14:paraId="58955C81">
            <w:pPr>
              <w:pStyle w:val="259"/>
              <w:spacing w:line="300" w:lineRule="exact"/>
              <w:jc w:val="center"/>
              <w:rPr>
                <w:rFonts w:ascii="Times New Roman" w:hAnsi="Times New Roman"/>
                <w:color w:val="auto"/>
                <w:highlight w:val="none"/>
              </w:rPr>
            </w:pPr>
            <w:r>
              <w:rPr>
                <w:rFonts w:ascii="Times New Roman" w:hAnsi="Times New Roman"/>
                <w:color w:val="auto"/>
                <w:highlight w:val="none"/>
              </w:rPr>
              <w:t>5</w:t>
            </w:r>
          </w:p>
        </w:tc>
        <w:tc>
          <w:tcPr>
            <w:tcW w:w="8106" w:type="dxa"/>
            <w:noWrap w:val="0"/>
            <w:vAlign w:val="center"/>
          </w:tcPr>
          <w:p w14:paraId="7B99AFED">
            <w:pPr>
              <w:pStyle w:val="259"/>
              <w:spacing w:line="300" w:lineRule="exact"/>
              <w:rPr>
                <w:rFonts w:ascii="Times New Roman" w:hAnsi="Times New Roman"/>
                <w:bCs/>
                <w:color w:val="auto"/>
                <w:highlight w:val="none"/>
              </w:rPr>
            </w:pPr>
            <w:r>
              <w:rPr>
                <w:rFonts w:ascii="Times New Roman" w:hAnsi="Times New Roman"/>
                <w:color w:val="auto"/>
                <w:highlight w:val="none"/>
              </w:rPr>
              <w:t>磋商响应文件递交截止时间</w:t>
            </w:r>
            <w:r>
              <w:rPr>
                <w:rFonts w:ascii="Times New Roman" w:hAnsi="Times New Roman"/>
                <w:color w:val="auto"/>
                <w:highlight w:val="none"/>
                <w:shd w:val="clear" w:color="FFFFFF" w:fill="auto"/>
              </w:rPr>
              <w:t>：</w:t>
            </w:r>
            <w:r>
              <w:rPr>
                <w:rFonts w:hint="eastAsia" w:ascii="Times New Roman" w:hAnsi="Times New Roman"/>
                <w:color w:val="auto"/>
                <w:highlight w:val="none"/>
                <w:shd w:val="clear" w:color="FFFFFF" w:fill="auto"/>
              </w:rPr>
              <w:t>202</w:t>
            </w:r>
            <w:r>
              <w:rPr>
                <w:rFonts w:hint="eastAsia" w:ascii="Times New Roman" w:hAnsi="Times New Roman"/>
                <w:color w:val="auto"/>
                <w:highlight w:val="none"/>
                <w:shd w:val="clear" w:color="FFFFFF" w:fill="auto"/>
                <w:lang w:val="en-US" w:eastAsia="zh-CN"/>
              </w:rPr>
              <w:t>5</w:t>
            </w:r>
            <w:r>
              <w:rPr>
                <w:rFonts w:hint="eastAsia" w:ascii="Times New Roman" w:hAnsi="Times New Roman"/>
                <w:color w:val="auto"/>
                <w:highlight w:val="none"/>
                <w:shd w:val="clear" w:color="FFFFFF" w:fill="auto"/>
              </w:rPr>
              <w:t>年</w:t>
            </w:r>
            <w:r>
              <w:rPr>
                <w:rFonts w:hint="eastAsia" w:ascii="Times New Roman" w:hAnsi="Times New Roman"/>
                <w:color w:val="auto"/>
                <w:highlight w:val="none"/>
                <w:shd w:val="clear" w:color="FFFFFF" w:fill="auto"/>
                <w:lang w:val="en-US" w:eastAsia="zh-CN"/>
              </w:rPr>
              <w:t xml:space="preserve"> 7 </w:t>
            </w:r>
            <w:r>
              <w:rPr>
                <w:rFonts w:hint="eastAsia" w:ascii="Times New Roman" w:hAnsi="Times New Roman"/>
                <w:color w:val="auto"/>
                <w:highlight w:val="none"/>
                <w:shd w:val="clear" w:color="FFFFFF" w:fill="auto"/>
              </w:rPr>
              <w:t>月</w:t>
            </w:r>
            <w:r>
              <w:rPr>
                <w:rFonts w:hint="eastAsia" w:ascii="Times New Roman" w:hAnsi="Times New Roman"/>
                <w:color w:val="auto"/>
                <w:highlight w:val="none"/>
                <w:shd w:val="clear" w:color="FFFFFF" w:fill="auto"/>
                <w:lang w:val="en-US" w:eastAsia="zh-CN"/>
              </w:rPr>
              <w:t xml:space="preserve"> 1 </w:t>
            </w:r>
            <w:r>
              <w:rPr>
                <w:rFonts w:ascii="Times New Roman" w:hAnsi="Times New Roman"/>
                <w:color w:val="auto"/>
                <w:highlight w:val="none"/>
                <w:shd w:val="clear" w:color="FFFFFF" w:fill="auto"/>
              </w:rPr>
              <w:t>日</w:t>
            </w:r>
            <w:r>
              <w:rPr>
                <w:rFonts w:hint="eastAsia" w:ascii="Times New Roman" w:hAnsi="Times New Roman"/>
                <w:color w:val="auto"/>
                <w:highlight w:val="none"/>
                <w:shd w:val="clear" w:color="FFFFFF" w:fill="auto"/>
                <w:lang w:val="en-US" w:eastAsia="zh-CN"/>
              </w:rPr>
              <w:t>上</w:t>
            </w:r>
            <w:r>
              <w:rPr>
                <w:rFonts w:ascii="Times New Roman" w:hAnsi="Times New Roman"/>
                <w:color w:val="auto"/>
                <w:highlight w:val="none"/>
                <w:shd w:val="clear" w:color="FFFFFF" w:fill="auto"/>
              </w:rPr>
              <w:t>午</w:t>
            </w:r>
            <w:r>
              <w:rPr>
                <w:rFonts w:hint="eastAsia" w:ascii="Times New Roman" w:hAnsi="Times New Roman"/>
                <w:color w:val="auto"/>
                <w:highlight w:val="none"/>
                <w:shd w:val="clear" w:color="FFFFFF" w:fill="auto"/>
                <w:lang w:val="en-US" w:eastAsia="zh-CN"/>
              </w:rPr>
              <w:t xml:space="preserve"> 9 </w:t>
            </w:r>
            <w:r>
              <w:rPr>
                <w:rFonts w:ascii="Times New Roman" w:hAnsi="Times New Roman"/>
                <w:bCs/>
                <w:color w:val="auto"/>
                <w:highlight w:val="none"/>
                <w:shd w:val="clear" w:color="FFFFFF" w:fill="auto"/>
              </w:rPr>
              <w:t>时</w:t>
            </w:r>
            <w:r>
              <w:rPr>
                <w:rFonts w:hint="eastAsia" w:ascii="Times New Roman" w:hAnsi="Times New Roman"/>
                <w:bCs/>
                <w:color w:val="auto"/>
                <w:highlight w:val="none"/>
                <w:shd w:val="clear" w:color="FFFFFF" w:fill="auto"/>
                <w:lang w:val="en-US" w:eastAsia="zh-CN"/>
              </w:rPr>
              <w:t xml:space="preserve"> 00 </w:t>
            </w:r>
            <w:r>
              <w:rPr>
                <w:rFonts w:ascii="Times New Roman" w:hAnsi="Times New Roman"/>
                <w:bCs/>
                <w:color w:val="auto"/>
                <w:highlight w:val="none"/>
                <w:shd w:val="clear" w:color="FFFFFF" w:fill="auto"/>
              </w:rPr>
              <w:t>分整</w:t>
            </w:r>
            <w:r>
              <w:rPr>
                <w:rFonts w:ascii="Times New Roman" w:hAnsi="Times New Roman" w:cs="Times New Roman"/>
                <w:color w:val="auto"/>
                <w:szCs w:val="20"/>
                <w:highlight w:val="none"/>
              </w:rPr>
              <w:t>。</w:t>
            </w:r>
          </w:p>
          <w:p w14:paraId="5A40190C">
            <w:pPr>
              <w:pStyle w:val="23"/>
              <w:spacing w:line="300" w:lineRule="exact"/>
              <w:rPr>
                <w:rFonts w:ascii="Times New Roman" w:hAnsi="Times New Roman" w:cs="Times New Roman"/>
                <w:color w:val="auto"/>
                <w:highlight w:val="none"/>
              </w:rPr>
            </w:pPr>
            <w:r>
              <w:rPr>
                <w:rFonts w:ascii="Times New Roman" w:hAnsi="Times New Roman" w:cs="Times New Roman"/>
                <w:color w:val="auto"/>
                <w:highlight w:val="none"/>
              </w:rPr>
              <w:t>地址：</w:t>
            </w:r>
            <w:r>
              <w:rPr>
                <w:rFonts w:hint="eastAsia" w:ascii="Times New Roman" w:hAnsi="Times New Roman" w:cs="Times New Roman"/>
                <w:color w:val="auto"/>
                <w:highlight w:val="none"/>
              </w:rPr>
              <w:t>广西南宁市良庆区平乐大道10号商务街4号楼213会议室</w:t>
            </w:r>
            <w:r>
              <w:rPr>
                <w:rFonts w:ascii="Times New Roman" w:hAnsi="Times New Roman" w:cs="Times New Roman"/>
                <w:color w:val="auto"/>
                <w:szCs w:val="20"/>
                <w:highlight w:val="none"/>
              </w:rPr>
              <w:t>。</w:t>
            </w:r>
          </w:p>
        </w:tc>
      </w:tr>
      <w:tr w14:paraId="1533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6" w:type="dxa"/>
            <w:noWrap w:val="0"/>
            <w:vAlign w:val="center"/>
          </w:tcPr>
          <w:p w14:paraId="6798D148">
            <w:pPr>
              <w:pStyle w:val="259"/>
              <w:spacing w:line="300" w:lineRule="exact"/>
              <w:jc w:val="center"/>
              <w:rPr>
                <w:rFonts w:ascii="Times New Roman" w:hAnsi="Times New Roman"/>
                <w:color w:val="auto"/>
                <w:highlight w:val="none"/>
              </w:rPr>
            </w:pPr>
            <w:r>
              <w:rPr>
                <w:rFonts w:ascii="Times New Roman" w:hAnsi="Times New Roman"/>
                <w:color w:val="auto"/>
                <w:highlight w:val="none"/>
              </w:rPr>
              <w:t>6</w:t>
            </w:r>
          </w:p>
        </w:tc>
        <w:tc>
          <w:tcPr>
            <w:tcW w:w="8106" w:type="dxa"/>
            <w:noWrap w:val="0"/>
            <w:vAlign w:val="center"/>
          </w:tcPr>
          <w:p w14:paraId="6E29B1FE">
            <w:pPr>
              <w:pStyle w:val="259"/>
              <w:spacing w:line="300" w:lineRule="exact"/>
              <w:rPr>
                <w:rFonts w:ascii="Times New Roman" w:hAnsi="Times New Roman"/>
                <w:color w:val="auto"/>
                <w:highlight w:val="none"/>
              </w:rPr>
            </w:pPr>
            <w:r>
              <w:rPr>
                <w:rFonts w:ascii="Times New Roman" w:hAnsi="Times New Roman"/>
                <w:color w:val="auto"/>
                <w:highlight w:val="none"/>
              </w:rPr>
              <w:t>磋商响应文件有效期：响应文件递交截止日期后</w:t>
            </w:r>
            <w:r>
              <w:rPr>
                <w:rFonts w:hint="eastAsia" w:ascii="Times New Roman" w:hAnsi="Times New Roman"/>
                <w:color w:val="auto"/>
                <w:highlight w:val="none"/>
                <w:lang w:val="en-US" w:eastAsia="zh-CN"/>
              </w:rPr>
              <w:t>3</w:t>
            </w:r>
            <w:r>
              <w:rPr>
                <w:rFonts w:ascii="Times New Roman" w:hAnsi="Times New Roman"/>
                <w:color w:val="auto"/>
                <w:highlight w:val="none"/>
              </w:rPr>
              <w:t>天。</w:t>
            </w:r>
          </w:p>
        </w:tc>
      </w:tr>
      <w:tr w14:paraId="6519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noWrap w:val="0"/>
            <w:vAlign w:val="center"/>
          </w:tcPr>
          <w:p w14:paraId="5078AE5B">
            <w:pPr>
              <w:pStyle w:val="259"/>
              <w:spacing w:line="300" w:lineRule="exact"/>
              <w:jc w:val="center"/>
              <w:rPr>
                <w:rFonts w:ascii="Times New Roman" w:hAnsi="Times New Roman"/>
                <w:color w:val="auto"/>
                <w:highlight w:val="none"/>
              </w:rPr>
            </w:pPr>
            <w:r>
              <w:rPr>
                <w:rFonts w:ascii="Times New Roman" w:hAnsi="Times New Roman"/>
                <w:color w:val="auto"/>
                <w:highlight w:val="none"/>
              </w:rPr>
              <w:t>7</w:t>
            </w:r>
          </w:p>
        </w:tc>
        <w:tc>
          <w:tcPr>
            <w:tcW w:w="8106" w:type="dxa"/>
            <w:noWrap w:val="0"/>
            <w:vAlign w:val="center"/>
          </w:tcPr>
          <w:p w14:paraId="659C0B9C">
            <w:pPr>
              <w:pStyle w:val="259"/>
              <w:spacing w:line="300" w:lineRule="exact"/>
              <w:rPr>
                <w:rFonts w:ascii="Times New Roman" w:hAnsi="Times New Roman"/>
                <w:bCs/>
                <w:color w:val="auto"/>
                <w:highlight w:val="none"/>
              </w:rPr>
            </w:pPr>
            <w:r>
              <w:rPr>
                <w:rFonts w:ascii="Times New Roman" w:hAnsi="Times New Roman"/>
                <w:bCs/>
                <w:color w:val="auto"/>
                <w:highlight w:val="none"/>
              </w:rPr>
              <w:t>磋商时间：</w:t>
            </w:r>
            <w:r>
              <w:rPr>
                <w:rFonts w:hint="eastAsia" w:ascii="Times New Roman" w:hAnsi="Times New Roman"/>
                <w:color w:val="auto"/>
                <w:highlight w:val="none"/>
              </w:rPr>
              <w:t>202</w:t>
            </w:r>
            <w:r>
              <w:rPr>
                <w:rFonts w:hint="eastAsia" w:ascii="Times New Roman" w:hAnsi="Times New Roman"/>
                <w:color w:val="auto"/>
                <w:highlight w:val="none"/>
                <w:lang w:val="en-US" w:eastAsia="zh-CN"/>
              </w:rPr>
              <w:t>5</w:t>
            </w:r>
            <w:r>
              <w:rPr>
                <w:rFonts w:hint="eastAsia" w:ascii="Times New Roman" w:hAnsi="Times New Roman"/>
                <w:color w:val="auto"/>
                <w:highlight w:val="none"/>
              </w:rPr>
              <w:t>年</w:t>
            </w:r>
            <w:r>
              <w:rPr>
                <w:rFonts w:hint="eastAsia" w:ascii="Times New Roman" w:hAnsi="Times New Roman"/>
                <w:color w:val="auto"/>
                <w:highlight w:val="none"/>
                <w:lang w:val="en-US" w:eastAsia="zh-CN"/>
              </w:rPr>
              <w:t xml:space="preserve"> 7 </w:t>
            </w:r>
            <w:r>
              <w:rPr>
                <w:rFonts w:hint="eastAsia" w:ascii="Times New Roman" w:hAnsi="Times New Roman"/>
                <w:color w:val="auto"/>
                <w:highlight w:val="none"/>
              </w:rPr>
              <w:t>月</w:t>
            </w:r>
            <w:r>
              <w:rPr>
                <w:rFonts w:hint="eastAsia" w:ascii="Times New Roman" w:hAnsi="Times New Roman"/>
                <w:color w:val="auto"/>
                <w:highlight w:val="none"/>
                <w:lang w:val="en-US" w:eastAsia="zh-CN"/>
              </w:rPr>
              <w:t xml:space="preserve"> 1 </w:t>
            </w:r>
            <w:r>
              <w:rPr>
                <w:rFonts w:ascii="Times New Roman" w:hAnsi="Times New Roman"/>
                <w:color w:val="auto"/>
                <w:highlight w:val="none"/>
              </w:rPr>
              <w:t>日</w:t>
            </w:r>
            <w:r>
              <w:rPr>
                <w:rFonts w:hint="eastAsia" w:ascii="Times New Roman" w:hAnsi="Times New Roman"/>
                <w:color w:val="auto"/>
                <w:highlight w:val="none"/>
                <w:lang w:val="en-US" w:eastAsia="zh-CN"/>
              </w:rPr>
              <w:t>上</w:t>
            </w:r>
            <w:r>
              <w:rPr>
                <w:rFonts w:ascii="Times New Roman" w:hAnsi="Times New Roman"/>
                <w:color w:val="auto"/>
                <w:highlight w:val="none"/>
              </w:rPr>
              <w:t>午</w:t>
            </w:r>
            <w:r>
              <w:rPr>
                <w:rFonts w:hint="eastAsia" w:ascii="Times New Roman" w:hAnsi="Times New Roman"/>
                <w:color w:val="auto"/>
                <w:highlight w:val="none"/>
                <w:lang w:val="en-US" w:eastAsia="zh-CN"/>
              </w:rPr>
              <w:t xml:space="preserve">9 </w:t>
            </w:r>
            <w:r>
              <w:rPr>
                <w:rFonts w:ascii="Times New Roman" w:hAnsi="Times New Roman"/>
                <w:bCs/>
                <w:color w:val="auto"/>
                <w:highlight w:val="none"/>
              </w:rPr>
              <w:t>时</w:t>
            </w:r>
            <w:r>
              <w:rPr>
                <w:rFonts w:hint="eastAsia" w:ascii="Times New Roman" w:hAnsi="Times New Roman"/>
                <w:bCs/>
                <w:color w:val="auto"/>
                <w:highlight w:val="none"/>
                <w:lang w:val="en-US" w:eastAsia="zh-CN"/>
              </w:rPr>
              <w:t xml:space="preserve"> 00 </w:t>
            </w:r>
            <w:r>
              <w:rPr>
                <w:rFonts w:ascii="Times New Roman" w:hAnsi="Times New Roman"/>
                <w:bCs/>
                <w:color w:val="auto"/>
                <w:highlight w:val="none"/>
              </w:rPr>
              <w:t>分</w:t>
            </w:r>
          </w:p>
          <w:p w14:paraId="687C89CF">
            <w:pPr>
              <w:pStyle w:val="259"/>
              <w:spacing w:line="300" w:lineRule="exact"/>
              <w:rPr>
                <w:rFonts w:hint="default" w:ascii="Times New Roman" w:hAnsi="Times New Roman" w:eastAsia="宋体"/>
                <w:color w:val="auto"/>
                <w:highlight w:val="none"/>
                <w:lang w:val="en-US" w:eastAsia="zh-CN"/>
              </w:rPr>
            </w:pPr>
            <w:r>
              <w:rPr>
                <w:rFonts w:ascii="Times New Roman" w:hAnsi="Times New Roman"/>
                <w:bCs/>
                <w:color w:val="auto"/>
                <w:highlight w:val="none"/>
              </w:rPr>
              <w:t>磋商地点：</w:t>
            </w:r>
            <w:r>
              <w:rPr>
                <w:rFonts w:hint="eastAsia" w:ascii="Times New Roman" w:hAnsi="Times New Roman"/>
                <w:color w:val="auto"/>
                <w:highlight w:val="none"/>
              </w:rPr>
              <w:t>广西南宁市良庆区平乐大道10号商务街4号楼213会议室</w:t>
            </w:r>
            <w:r>
              <w:rPr>
                <w:rFonts w:ascii="Times New Roman" w:hAnsi="Times New Roman" w:cs="Times New Roman"/>
                <w:color w:val="auto"/>
                <w:szCs w:val="20"/>
                <w:highlight w:val="none"/>
              </w:rPr>
              <w:t>。</w:t>
            </w:r>
          </w:p>
        </w:tc>
      </w:tr>
    </w:tbl>
    <w:p w14:paraId="77FA0492">
      <w:pPr>
        <w:rPr>
          <w:highlight w:val="none"/>
        </w:rPr>
      </w:pPr>
    </w:p>
    <w:p w14:paraId="63BCF3F7">
      <w:pPr>
        <w:spacing w:line="400" w:lineRule="exact"/>
        <w:rPr>
          <w:color w:val="auto"/>
          <w:sz w:val="32"/>
          <w:szCs w:val="32"/>
          <w:highlight w:val="none"/>
        </w:rPr>
      </w:pPr>
      <w:r>
        <w:rPr>
          <w:color w:val="auto"/>
          <w:sz w:val="32"/>
          <w:szCs w:val="32"/>
          <w:highlight w:val="none"/>
        </w:rPr>
        <w:br w:type="page"/>
      </w:r>
    </w:p>
    <w:p w14:paraId="5F4D6A2D">
      <w:pPr>
        <w:spacing w:line="400" w:lineRule="exact"/>
        <w:jc w:val="center"/>
        <w:rPr>
          <w:rFonts w:ascii="Times New Roman" w:hAnsi="Times New Roman" w:eastAsia="宋体" w:cs="Times New Roman"/>
          <w:b/>
          <w:bCs/>
          <w:color w:val="auto"/>
          <w:kern w:val="2"/>
          <w:sz w:val="32"/>
          <w:szCs w:val="32"/>
          <w:highlight w:val="none"/>
          <w:lang w:val="en-US" w:eastAsia="zh-CN" w:bidi="ar-SA"/>
        </w:rPr>
      </w:pPr>
      <w:bookmarkStart w:id="6" w:name="_Toc77937043"/>
      <w:r>
        <w:rPr>
          <w:rFonts w:ascii="Times New Roman" w:hAnsi="Times New Roman" w:eastAsia="宋体" w:cs="Times New Roman"/>
          <w:b/>
          <w:bCs/>
          <w:color w:val="auto"/>
          <w:kern w:val="2"/>
          <w:sz w:val="32"/>
          <w:szCs w:val="32"/>
          <w:highlight w:val="none"/>
          <w:lang w:val="en-US" w:eastAsia="zh-CN" w:bidi="ar-SA"/>
        </w:rPr>
        <w:t>竞标人须知
</w:t>
      </w:r>
    </w:p>
    <w:p w14:paraId="4CF28635">
      <w:pPr>
        <w:adjustRightInd w:val="0"/>
        <w:snapToGrid w:val="0"/>
        <w:spacing w:line="380" w:lineRule="exact"/>
        <w:ind w:firstLine="422"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一、总　则
</w:t>
      </w:r>
    </w:p>
    <w:p w14:paraId="4521AB0A">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 适用范围
</w:t>
      </w:r>
    </w:p>
    <w:p w14:paraId="191E0732">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1.1 项目名称：新媒体代运营项目
</w:t>
      </w:r>
    </w:p>
    <w:p w14:paraId="565DE9E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本文件仅适用于本文件中所叙述的新媒体代运营服务类竞争性磋商采购项目。
</w:t>
      </w:r>
    </w:p>
    <w:p w14:paraId="5CBEA557">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2. 定义
</w:t>
      </w:r>
    </w:p>
    <w:p w14:paraId="0F4BC6C4">
      <w:pPr>
        <w:adjustRightInd w:val="0"/>
        <w:snapToGrid w:val="0"/>
        <w:spacing w:line="380" w:lineRule="exact"/>
        <w:ind w:firstLine="420" w:firstLineChars="200"/>
        <w:rPr>
          <w:color w:val="auto"/>
          <w:szCs w:val="21"/>
          <w:highlight w:val="none"/>
        </w:rPr>
      </w:pPr>
      <w:r>
        <w:rPr>
          <w:color w:val="auto"/>
          <w:szCs w:val="21"/>
          <w:highlight w:val="none"/>
        </w:rPr>
        <w:t>2.1“采购人”是指：</w:t>
      </w:r>
      <w:r>
        <w:rPr>
          <w:rFonts w:hint="eastAsia"/>
          <w:color w:val="auto"/>
          <w:szCs w:val="21"/>
          <w:highlight w:val="none"/>
          <w:lang w:eastAsia="zh-CN"/>
        </w:rPr>
        <w:t>广西东博国际经贸投资有限公司</w:t>
      </w:r>
      <w:r>
        <w:rPr>
          <w:color w:val="auto"/>
          <w:szCs w:val="21"/>
          <w:highlight w:val="none"/>
        </w:rPr>
        <w:t xml:space="preserve">。 </w:t>
      </w:r>
    </w:p>
    <w:p w14:paraId="213030F0">
      <w:pPr>
        <w:adjustRightInd w:val="0"/>
        <w:snapToGrid w:val="0"/>
        <w:spacing w:line="380" w:lineRule="exact"/>
        <w:ind w:firstLine="420" w:firstLineChars="200"/>
        <w:rPr>
          <w:color w:val="auto"/>
          <w:szCs w:val="21"/>
          <w:highlight w:val="none"/>
        </w:rPr>
      </w:pPr>
      <w:r>
        <w:rPr>
          <w:color w:val="auto"/>
          <w:szCs w:val="21"/>
          <w:highlight w:val="none"/>
        </w:rPr>
        <w:t>2.2“竞标人”是指响应本文件要求，参加磋商的法人或者其他组织。如果该</w:t>
      </w:r>
      <w:r>
        <w:rPr>
          <w:rFonts w:hint="eastAsia"/>
          <w:color w:val="auto"/>
          <w:szCs w:val="21"/>
          <w:highlight w:val="none"/>
        </w:rPr>
        <w:t>竞标人</w:t>
      </w:r>
      <w:r>
        <w:rPr>
          <w:color w:val="auto"/>
          <w:szCs w:val="21"/>
          <w:highlight w:val="none"/>
        </w:rPr>
        <w:t>在本次磋商中成交,即成为“成交供应商”。</w:t>
      </w:r>
    </w:p>
    <w:p w14:paraId="28687A48">
      <w:pPr>
        <w:adjustRightInd w:val="0"/>
        <w:snapToGrid w:val="0"/>
        <w:spacing w:line="380" w:lineRule="exact"/>
        <w:ind w:firstLine="420" w:firstLineChars="200"/>
        <w:rPr>
          <w:color w:val="auto"/>
          <w:szCs w:val="21"/>
          <w:highlight w:val="none"/>
        </w:rPr>
      </w:pPr>
      <w:r>
        <w:rPr>
          <w:color w:val="auto"/>
          <w:szCs w:val="21"/>
          <w:highlight w:val="none"/>
        </w:rPr>
        <w:t>2.3“货物”是指各种形态和种类的物品，包括原材料、燃料、设备、产品等。</w:t>
      </w:r>
    </w:p>
    <w:p w14:paraId="5EB4B9A9">
      <w:pPr>
        <w:adjustRightInd w:val="0"/>
        <w:snapToGrid w:val="0"/>
        <w:spacing w:line="380" w:lineRule="exact"/>
        <w:ind w:firstLine="420" w:firstLineChars="200"/>
        <w:rPr>
          <w:color w:val="auto"/>
          <w:szCs w:val="21"/>
          <w:highlight w:val="none"/>
        </w:rPr>
      </w:pPr>
      <w:r>
        <w:rPr>
          <w:color w:val="auto"/>
          <w:szCs w:val="21"/>
          <w:highlight w:val="none"/>
        </w:rPr>
        <w:t>2.4“服务”是指除货物和工程以外的其他采购对象。</w:t>
      </w:r>
    </w:p>
    <w:p w14:paraId="6E943666">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color w:val="auto"/>
          <w:szCs w:val="21"/>
          <w:highlight w:val="none"/>
        </w:rPr>
        <w:t>2.5“竞争性磋商响应文件”是指：</w:t>
      </w:r>
      <w:r>
        <w:rPr>
          <w:rFonts w:hint="eastAsia"/>
          <w:color w:val="auto"/>
          <w:szCs w:val="21"/>
          <w:highlight w:val="none"/>
        </w:rPr>
        <w:t>竞标人</w:t>
      </w:r>
      <w:r>
        <w:rPr>
          <w:color w:val="auto"/>
          <w:szCs w:val="21"/>
          <w:highlight w:val="none"/>
        </w:rPr>
        <w:t>根据本文件要求，编制包含报价、技术和服务等所有内容的文件。</w:t>
      </w:r>
      <w:r>
        <w:rPr>
          <w:rFonts w:ascii="Times New Roman" w:hAnsi="Times New Roman" w:eastAsia="宋体" w:cs="Times New Roman"/>
          <w:color w:val="auto"/>
          <w:kern w:val="2"/>
          <w:szCs w:val="21"/>
          <w:highlight w:val="none"/>
          <w:lang w:val="en-US" w:eastAsia="zh-CN" w:bidi="ar-SA"/>
        </w:rPr>
        <w:t>
</w:t>
      </w:r>
    </w:p>
    <w:p w14:paraId="662488E2">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 竞标人的基本条件
</w:t>
      </w:r>
    </w:p>
    <w:p w14:paraId="65F41F39">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 竞标人资格：
</w:t>
      </w:r>
    </w:p>
    <w:p w14:paraId="32E46A49">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3.1.1. 国内注册（指按国家有关规定要求注册的），营业执照经营范围包含 “新媒体运营”</w:t>
      </w:r>
      <w:r>
        <w:rPr>
          <w:rFonts w:hint="eastAsia" w:ascii="Times New Roman" w:hAnsi="Times New Roman" w:eastAsia="宋体" w:cs="Times New Roman"/>
          <w:color w:val="auto"/>
          <w:kern w:val="2"/>
          <w:szCs w:val="21"/>
          <w:highlight w:val="none"/>
          <w:lang w:val="en-US" w:eastAsia="zh-CN" w:bidi="ar-SA"/>
        </w:rPr>
        <w:t>或</w:t>
      </w:r>
      <w:r>
        <w:rPr>
          <w:rFonts w:ascii="Times New Roman" w:hAnsi="Times New Roman" w:eastAsia="宋体" w:cs="Times New Roman"/>
          <w:color w:val="auto"/>
          <w:kern w:val="2"/>
          <w:szCs w:val="21"/>
          <w:highlight w:val="none"/>
          <w:lang w:val="en-US" w:eastAsia="zh-CN" w:bidi="ar-SA"/>
        </w:rPr>
        <w:t xml:space="preserve">“广告设计” </w:t>
      </w:r>
      <w:r>
        <w:rPr>
          <w:rFonts w:hint="eastAsia" w:cs="Times New Roman"/>
          <w:color w:val="auto"/>
          <w:kern w:val="2"/>
          <w:szCs w:val="21"/>
          <w:highlight w:val="none"/>
          <w:lang w:val="en-US" w:eastAsia="zh-CN" w:bidi="ar-SA"/>
        </w:rPr>
        <w:t>“广告制作”</w:t>
      </w:r>
      <w:r>
        <w:rPr>
          <w:rFonts w:ascii="Times New Roman" w:hAnsi="Times New Roman" w:eastAsia="宋体" w:cs="Times New Roman"/>
          <w:color w:val="auto"/>
          <w:kern w:val="2"/>
          <w:szCs w:val="21"/>
          <w:highlight w:val="none"/>
          <w:lang w:val="en-US" w:eastAsia="zh-CN" w:bidi="ar-SA"/>
        </w:rPr>
        <w:t>等相关类目，具备独立法人资格的竞标人；
</w:t>
      </w:r>
    </w:p>
    <w:p w14:paraId="0BA8BB8A">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3.1.2. 诚实守信，近三年内无违法违规记录，无重大负面舆情，未因虚假宣传、数据造假等行为被行政处罚，未被 “信用中国” 列入 “黑名单”；
</w:t>
      </w:r>
    </w:p>
    <w:p w14:paraId="4B4153A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3.1.3. 本项目的特定资格要求：
</w:t>
      </w:r>
    </w:p>
    <w:p w14:paraId="71D97DD9">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（1）承诺并保证，中选确认前不得透露任何经贸中心认为的保密信息，不得以任何形式关联经贸中心进行未经授权的商业宣传，账号归属权归经贸中心所有，不可私自导入客户信息。
</w:t>
      </w:r>
    </w:p>
    <w:p w14:paraId="66074046">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（2）具备新媒体平台投放经验，且具备服务政府机构、经贸组织、涉外企业、大型国</w:t>
      </w:r>
      <w:r>
        <w:rPr>
          <w:rFonts w:hint="eastAsia" w:cs="Times New Roman"/>
          <w:color w:val="auto"/>
          <w:kern w:val="2"/>
          <w:szCs w:val="21"/>
          <w:highlight w:val="none"/>
          <w:lang w:val="en-US" w:eastAsia="zh-CN" w:bidi="ar-SA"/>
        </w:rPr>
        <w:t>企</w:t>
      </w:r>
      <w:r>
        <w:rPr>
          <w:rFonts w:ascii="Times New Roman" w:hAnsi="Times New Roman" w:eastAsia="宋体" w:cs="Times New Roman"/>
          <w:color w:val="auto"/>
          <w:kern w:val="2"/>
          <w:szCs w:val="21"/>
          <w:highlight w:val="none"/>
          <w:lang w:val="en-US" w:eastAsia="zh-CN" w:bidi="ar-SA"/>
        </w:rPr>
        <w:t>、央企</w:t>
      </w:r>
      <w:r>
        <w:rPr>
          <w:rFonts w:hint="eastAsia" w:ascii="Times New Roman" w:hAnsi="Times New Roman" w:eastAsia="宋体" w:cs="Times New Roman"/>
          <w:color w:val="auto"/>
          <w:kern w:val="2"/>
          <w:szCs w:val="21"/>
          <w:highlight w:val="none"/>
          <w:lang w:val="en-US" w:eastAsia="zh-CN" w:bidi="ar-SA"/>
        </w:rPr>
        <w:t>、事业单位、大型企业</w:t>
      </w:r>
      <w:r>
        <w:rPr>
          <w:rFonts w:ascii="Times New Roman" w:hAnsi="Times New Roman" w:eastAsia="宋体" w:cs="Times New Roman"/>
          <w:color w:val="auto"/>
          <w:kern w:val="2"/>
          <w:szCs w:val="21"/>
          <w:highlight w:val="none"/>
          <w:lang w:val="en-US" w:eastAsia="zh-CN" w:bidi="ar-SA"/>
        </w:rPr>
        <w:t>、个人 IP 打造的至少 3 个成功案例（需提供合同证明或账号后台数据）；
</w:t>
      </w:r>
    </w:p>
    <w:p w14:paraId="33889773">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3.1.4. 单位负责人为同一人或者存在直接控股、管理关系的不同竞标人，不得参加同一合同项下的采购活动；
</w:t>
      </w:r>
    </w:p>
    <w:p w14:paraId="43EF30B8">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3.1.5. 对在 “信用中国” 网站 (</w:t>
      </w:r>
      <w:r>
        <w:rPr>
          <w:rFonts w:ascii="Times New Roman" w:hAnsi="Times New Roman" w:eastAsia="宋体" w:cs="Times New Roman"/>
          <w:color w:val="auto"/>
          <w:kern w:val="2"/>
          <w:szCs w:val="21"/>
          <w:highlight w:val="none"/>
          <w:lang w:val="en-US" w:eastAsia="zh-CN" w:bidi="ar-SA"/>
        </w:rPr>
        <w:fldChar w:fldCharType="begin"/>
      </w:r>
      <w:r>
        <w:rPr>
          <w:rFonts w:ascii="Times New Roman" w:hAnsi="Times New Roman" w:eastAsia="宋体" w:cs="Times New Roman"/>
          <w:color w:val="auto"/>
          <w:kern w:val="2"/>
          <w:szCs w:val="21"/>
          <w:highlight w:val="none"/>
          <w:lang w:val="en-US" w:eastAsia="zh-CN" w:bidi="ar-SA"/>
        </w:rPr>
        <w:instrText xml:space="preserve"> HYPERLINK "https://www.creditchina.gov.cn" </w:instrText>
      </w:r>
      <w:r>
        <w:rPr>
          <w:rFonts w:ascii="Times New Roman" w:hAnsi="Times New Roman" w:eastAsia="宋体" w:cs="Times New Roman"/>
          <w:color w:val="auto"/>
          <w:kern w:val="2"/>
          <w:szCs w:val="21"/>
          <w:highlight w:val="none"/>
          <w:lang w:val="en-US" w:eastAsia="zh-CN" w:bidi="ar-SA"/>
        </w:rPr>
        <w:fldChar w:fldCharType="separate"/>
      </w:r>
      <w:r>
        <w:rPr>
          <w:rFonts w:ascii="Times New Roman" w:hAnsi="Times New Roman" w:eastAsia="宋体" w:cs="Times New Roman"/>
          <w:color w:val="auto"/>
          <w:kern w:val="2"/>
          <w:szCs w:val="21"/>
          <w:highlight w:val="none"/>
          <w:lang w:val="en-US" w:eastAsia="zh-CN" w:bidi="ar-SA"/>
        </w:rPr>
        <w:t>www.creditchina.gov.cn</w:t>
      </w:r>
      <w:r>
        <w:rPr>
          <w:rFonts w:ascii="Times New Roman" w:hAnsi="Times New Roman" w:eastAsia="宋体" w:cs="Times New Roman"/>
          <w:color w:val="auto"/>
          <w:kern w:val="2"/>
          <w:szCs w:val="21"/>
          <w:highlight w:val="none"/>
          <w:lang w:val="en-US" w:eastAsia="zh-CN" w:bidi="ar-SA"/>
        </w:rPr>
        <w:fldChar w:fldCharType="end"/>
      </w:r>
      <w:r>
        <w:rPr>
          <w:rFonts w:ascii="Times New Roman" w:hAnsi="Times New Roman" w:eastAsia="宋体" w:cs="Times New Roman"/>
          <w:color w:val="auto"/>
          <w:kern w:val="2"/>
          <w:szCs w:val="21"/>
          <w:highlight w:val="none"/>
          <w:lang w:val="en-US" w:eastAsia="zh-CN" w:bidi="ar-SA"/>
        </w:rPr>
        <w:t>)、中国政府采购网 (</w:t>
      </w:r>
      <w:r>
        <w:rPr>
          <w:rFonts w:ascii="Times New Roman" w:hAnsi="Times New Roman" w:eastAsia="宋体" w:cs="Times New Roman"/>
          <w:color w:val="auto"/>
          <w:kern w:val="2"/>
          <w:szCs w:val="21"/>
          <w:highlight w:val="none"/>
          <w:lang w:val="en-US" w:eastAsia="zh-CN" w:bidi="ar-SA"/>
        </w:rPr>
        <w:fldChar w:fldCharType="begin"/>
      </w:r>
      <w:r>
        <w:rPr>
          <w:rFonts w:ascii="Times New Roman" w:hAnsi="Times New Roman" w:eastAsia="宋体" w:cs="Times New Roman"/>
          <w:color w:val="auto"/>
          <w:kern w:val="2"/>
          <w:szCs w:val="21"/>
          <w:highlight w:val="none"/>
          <w:lang w:val="en-US" w:eastAsia="zh-CN" w:bidi="ar-SA"/>
        </w:rPr>
        <w:instrText xml:space="preserve"> HYPERLINK "https://www.ccgp.gov.cn" </w:instrText>
      </w:r>
      <w:r>
        <w:rPr>
          <w:rFonts w:ascii="Times New Roman" w:hAnsi="Times New Roman" w:eastAsia="宋体" w:cs="Times New Roman"/>
          <w:color w:val="auto"/>
          <w:kern w:val="2"/>
          <w:szCs w:val="21"/>
          <w:highlight w:val="none"/>
          <w:lang w:val="en-US" w:eastAsia="zh-CN" w:bidi="ar-SA"/>
        </w:rPr>
        <w:fldChar w:fldCharType="separate"/>
      </w:r>
      <w:r>
        <w:rPr>
          <w:rFonts w:ascii="Times New Roman" w:hAnsi="Times New Roman" w:eastAsia="宋体" w:cs="Times New Roman"/>
          <w:color w:val="auto"/>
          <w:kern w:val="2"/>
          <w:szCs w:val="21"/>
          <w:highlight w:val="none"/>
          <w:lang w:val="en-US" w:eastAsia="zh-CN" w:bidi="ar-SA"/>
        </w:rPr>
        <w:t>www.ccgp.gov.cn</w:t>
      </w:r>
      <w:r>
        <w:rPr>
          <w:rFonts w:ascii="Times New Roman" w:hAnsi="Times New Roman" w:eastAsia="宋体" w:cs="Times New Roman"/>
          <w:color w:val="auto"/>
          <w:kern w:val="2"/>
          <w:szCs w:val="21"/>
          <w:highlight w:val="none"/>
          <w:lang w:val="en-US" w:eastAsia="zh-CN" w:bidi="ar-SA"/>
        </w:rPr>
        <w:fldChar w:fldCharType="end"/>
      </w:r>
      <w:r>
        <w:rPr>
          <w:rFonts w:ascii="Times New Roman" w:hAnsi="Times New Roman" w:eastAsia="宋体" w:cs="Times New Roman"/>
          <w:color w:val="auto"/>
          <w:kern w:val="2"/>
          <w:szCs w:val="21"/>
          <w:highlight w:val="none"/>
          <w:lang w:val="en-US" w:eastAsia="zh-CN" w:bidi="ar-SA"/>
        </w:rPr>
        <w:t>) 列入失信被执行人、重大税收违法案件当事人名单、政府采购严重违法失信行为记录名单竞标人，不得参与本次采购活动；
</w:t>
      </w:r>
    </w:p>
    <w:p w14:paraId="13B1A813">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3.1.6. 本项目不接受联合体投标；
</w:t>
      </w:r>
    </w:p>
    <w:p w14:paraId="6AEC90F3">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详见 “竞标人须知前附表”。
</w:t>
      </w:r>
    </w:p>
    <w:p w14:paraId="3B286F64">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4. 竞争性磋商公告、磋商文件的修改
</w:t>
      </w:r>
    </w:p>
    <w:p w14:paraId="35CB5397">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4.1 竞争性磋商公告发布媒体：广西国际博览集团有限公司官方网站</w:t>
      </w:r>
      <w:r>
        <w:rPr>
          <w:rFonts w:ascii="Times New Roman" w:hAnsi="Times New Roman" w:eastAsia="宋体" w:cs="Times New Roman"/>
          <w:color w:val="auto"/>
          <w:kern w:val="2"/>
          <w:szCs w:val="21"/>
          <w:highlight w:val="none"/>
          <w:lang w:val="en-US" w:eastAsia="zh-CN" w:bidi="ar-SA"/>
        </w:rPr>
        <w:fldChar w:fldCharType="begin"/>
      </w:r>
      <w:r>
        <w:rPr>
          <w:rFonts w:ascii="Times New Roman" w:hAnsi="Times New Roman" w:eastAsia="宋体" w:cs="Times New Roman"/>
          <w:color w:val="auto"/>
          <w:kern w:val="2"/>
          <w:szCs w:val="21"/>
          <w:highlight w:val="none"/>
          <w:lang w:val="en-US" w:eastAsia="zh-CN" w:bidi="ar-SA"/>
        </w:rPr>
        <w:instrText xml:space="preserve"> HYPERLINK "https://www.gxexpogp.cn/" </w:instrText>
      </w:r>
      <w:r>
        <w:rPr>
          <w:rFonts w:ascii="Times New Roman" w:hAnsi="Times New Roman" w:eastAsia="宋体" w:cs="Times New Roman"/>
          <w:color w:val="auto"/>
          <w:kern w:val="2"/>
          <w:szCs w:val="21"/>
          <w:highlight w:val="none"/>
          <w:lang w:val="en-US" w:eastAsia="zh-CN" w:bidi="ar-SA"/>
        </w:rPr>
        <w:fldChar w:fldCharType="separate"/>
      </w:r>
      <w:r>
        <w:rPr>
          <w:rFonts w:ascii="Times New Roman" w:hAnsi="Times New Roman" w:eastAsia="宋体" w:cs="Times New Roman"/>
          <w:color w:val="auto"/>
          <w:kern w:val="2"/>
          <w:szCs w:val="21"/>
          <w:highlight w:val="none"/>
          <w:lang w:val="en-US" w:eastAsia="zh-CN" w:bidi="ar-SA"/>
        </w:rPr>
        <w:t>https://www.gxex</w:t>
      </w:r>
      <w:r>
        <w:rPr>
          <w:rFonts w:ascii="Times New Roman" w:hAnsi="Times New Roman" w:eastAsia="宋体" w:cs="Times New Roman"/>
          <w:color w:val="auto"/>
          <w:kern w:val="2"/>
          <w:szCs w:val="21"/>
          <w:highlight w:val="none"/>
          <w:lang w:val="en-US" w:eastAsia="zh-CN" w:bidi="ar-SA"/>
        </w:rPr>
        <w:fldChar w:fldCharType="end"/>
      </w:r>
      <w:r>
        <w:rPr>
          <w:rFonts w:ascii="Times New Roman" w:hAnsi="Times New Roman" w:eastAsia="宋体" w:cs="Times New Roman"/>
          <w:color w:val="auto"/>
          <w:kern w:val="2"/>
          <w:szCs w:val="21"/>
          <w:highlight w:val="none"/>
          <w:lang w:val="en-US" w:eastAsia="zh-CN" w:bidi="ar-SA"/>
        </w:rPr>
        <w:fldChar w:fldCharType="begin"/>
      </w:r>
      <w:r>
        <w:rPr>
          <w:rFonts w:ascii="Times New Roman" w:hAnsi="Times New Roman" w:eastAsia="宋体" w:cs="Times New Roman"/>
          <w:color w:val="auto"/>
          <w:kern w:val="2"/>
          <w:szCs w:val="21"/>
          <w:highlight w:val="none"/>
          <w:lang w:val="en-US" w:eastAsia="zh-CN" w:bidi="ar-SA"/>
        </w:rPr>
        <w:instrText xml:space="preserve"> HYPERLINK "https://www.gxexpogp.cn/" </w:instrText>
      </w:r>
      <w:r>
        <w:rPr>
          <w:rFonts w:ascii="Times New Roman" w:hAnsi="Times New Roman" w:eastAsia="宋体" w:cs="Times New Roman"/>
          <w:color w:val="auto"/>
          <w:kern w:val="2"/>
          <w:szCs w:val="21"/>
          <w:highlight w:val="none"/>
          <w:lang w:val="en-US" w:eastAsia="zh-CN" w:bidi="ar-SA"/>
        </w:rPr>
        <w:fldChar w:fldCharType="separate"/>
      </w:r>
      <w:r>
        <w:rPr>
          <w:rFonts w:ascii="Times New Roman" w:hAnsi="Times New Roman" w:eastAsia="宋体" w:cs="Times New Roman"/>
          <w:color w:val="auto"/>
          <w:kern w:val="2"/>
          <w:szCs w:val="21"/>
          <w:highlight w:val="none"/>
          <w:lang w:val="en-US" w:eastAsia="zh-CN" w:bidi="ar-SA"/>
        </w:rPr>
        <w:t>pogp</w:t>
      </w:r>
      <w:r>
        <w:rPr>
          <w:rFonts w:ascii="Times New Roman" w:hAnsi="Times New Roman" w:eastAsia="宋体" w:cs="Times New Roman"/>
          <w:color w:val="auto"/>
          <w:kern w:val="2"/>
          <w:szCs w:val="21"/>
          <w:highlight w:val="none"/>
          <w:lang w:val="en-US" w:eastAsia="zh-CN" w:bidi="ar-SA"/>
        </w:rPr>
        <w:fldChar w:fldCharType="end"/>
      </w:r>
      <w:r>
        <w:rPr>
          <w:rFonts w:ascii="Times New Roman" w:hAnsi="Times New Roman" w:eastAsia="宋体" w:cs="Times New Roman"/>
          <w:color w:val="auto"/>
          <w:kern w:val="2"/>
          <w:szCs w:val="21"/>
          <w:highlight w:val="none"/>
          <w:lang w:val="en-US" w:eastAsia="zh-CN" w:bidi="ar-SA"/>
        </w:rPr>
        <w:fldChar w:fldCharType="begin"/>
      </w:r>
      <w:r>
        <w:rPr>
          <w:rFonts w:ascii="Times New Roman" w:hAnsi="Times New Roman" w:eastAsia="宋体" w:cs="Times New Roman"/>
          <w:color w:val="auto"/>
          <w:kern w:val="2"/>
          <w:szCs w:val="21"/>
          <w:highlight w:val="none"/>
          <w:lang w:val="en-US" w:eastAsia="zh-CN" w:bidi="ar-SA"/>
        </w:rPr>
        <w:instrText xml:space="preserve"> HYPERLINK "https://www.gxexpogp.cn/" </w:instrText>
      </w:r>
      <w:r>
        <w:rPr>
          <w:rFonts w:ascii="Times New Roman" w:hAnsi="Times New Roman" w:eastAsia="宋体" w:cs="Times New Roman"/>
          <w:color w:val="auto"/>
          <w:kern w:val="2"/>
          <w:szCs w:val="21"/>
          <w:highlight w:val="none"/>
          <w:lang w:val="en-US" w:eastAsia="zh-CN" w:bidi="ar-SA"/>
        </w:rPr>
        <w:fldChar w:fldCharType="separate"/>
      </w:r>
      <w:r>
        <w:rPr>
          <w:rFonts w:ascii="Times New Roman" w:hAnsi="Times New Roman" w:eastAsia="宋体" w:cs="Times New Roman"/>
          <w:color w:val="auto"/>
          <w:kern w:val="2"/>
          <w:szCs w:val="21"/>
          <w:highlight w:val="none"/>
          <w:lang w:val="en-US" w:eastAsia="zh-CN" w:bidi="ar-SA"/>
        </w:rPr>
        <w:t>.cn/</w:t>
      </w:r>
      <w:r>
        <w:rPr>
          <w:rFonts w:ascii="Times New Roman" w:hAnsi="Times New Roman" w:eastAsia="宋体" w:cs="Times New Roman"/>
          <w:color w:val="auto"/>
          <w:kern w:val="2"/>
          <w:szCs w:val="21"/>
          <w:highlight w:val="none"/>
          <w:lang w:val="en-US" w:eastAsia="zh-CN" w:bidi="ar-SA"/>
        </w:rPr>
        <w:fldChar w:fldCharType="end"/>
      </w:r>
    </w:p>
    <w:p w14:paraId="00E5BC8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4.2 竞争性磋商采购文件的澄清和修改：
</w:t>
      </w:r>
    </w:p>
    <w:p w14:paraId="7131C2D0">
      <w:pPr>
        <w:adjustRightInd w:val="0"/>
        <w:snapToGrid w:val="0"/>
        <w:spacing w:line="380" w:lineRule="exact"/>
        <w:ind w:firstLine="420" w:firstLineChars="200"/>
        <w:rPr>
          <w:rFonts w:ascii="Times New Roman" w:hAnsi="Times New Roman" w:cs="Times New Roman"/>
          <w:bCs/>
          <w:color w:val="auto"/>
          <w:highlight w:val="none"/>
        </w:rPr>
      </w:pPr>
      <w:r>
        <w:rPr>
          <w:rFonts w:ascii="Times New Roman" w:hAnsi="Times New Roman" w:cs="Times New Roman"/>
          <w:color w:val="auto"/>
          <w:highlight w:val="none"/>
        </w:rPr>
        <w:t>4.2.1</w:t>
      </w:r>
      <w:r>
        <w:rPr>
          <w:rFonts w:ascii="Times New Roman" w:hAnsi="Times New Roman" w:cs="Times New Roman"/>
          <w:bCs/>
          <w:color w:val="auto"/>
          <w:highlight w:val="none"/>
        </w:rPr>
        <w:t>竞标人应认真审核《</w:t>
      </w:r>
      <w:bookmarkStart w:id="7" w:name="_Hlk77955883"/>
      <w:r>
        <w:rPr>
          <w:rFonts w:ascii="Times New Roman" w:hAnsi="Times New Roman" w:cs="Times New Roman"/>
          <w:bCs/>
          <w:color w:val="auto"/>
          <w:highlight w:val="none"/>
        </w:rPr>
        <w:t>采购项目需求</w:t>
      </w:r>
      <w:bookmarkEnd w:id="7"/>
      <w:r>
        <w:rPr>
          <w:rFonts w:ascii="Times New Roman" w:hAnsi="Times New Roman" w:cs="Times New Roman"/>
          <w:bCs/>
          <w:color w:val="auto"/>
          <w:highlight w:val="none"/>
        </w:rPr>
        <w:t>》中的技术参数、配置及要求，如发现表中技术参数、配置有误或要求不合理的，竞标人必须在规定的时间前要求澄清，否则，由此产生的后果由竞标人负责。</w:t>
      </w:r>
    </w:p>
    <w:p w14:paraId="67623621">
      <w:pPr>
        <w:pStyle w:val="23"/>
        <w:adjustRightInd w:val="0"/>
        <w:snapToGrid w:val="0"/>
        <w:spacing w:line="38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4.2.2任何要求澄清采购文件的竞标人，均应在竞标截止日期两日前的正常工作时间通知</w:t>
      </w:r>
      <w:r>
        <w:rPr>
          <w:rFonts w:hint="eastAsia" w:ascii="Times New Roman" w:hAnsi="Times New Roman" w:cs="Times New Roman"/>
          <w:color w:val="auto"/>
          <w:highlight w:val="none"/>
        </w:rPr>
        <w:t>采购人</w:t>
      </w:r>
      <w:r>
        <w:rPr>
          <w:rFonts w:ascii="Times New Roman" w:hAnsi="Times New Roman" w:cs="Times New Roman"/>
          <w:color w:val="auto"/>
          <w:highlight w:val="none"/>
        </w:rPr>
        <w:t>，同时认定其他澄清方式为无效</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rPr>
        <w:t>采购人</w:t>
      </w:r>
      <w:r>
        <w:rPr>
          <w:rFonts w:ascii="Times New Roman" w:hAnsi="Times New Roman" w:cs="Times New Roman"/>
          <w:color w:val="auto"/>
          <w:highlight w:val="none"/>
        </w:rPr>
        <w:t>将予以答复。</w:t>
      </w:r>
    </w:p>
    <w:p w14:paraId="47AF9F23">
      <w:pPr>
        <w:adjustRightInd w:val="0"/>
        <w:snapToGrid w:val="0"/>
        <w:spacing w:line="380" w:lineRule="exact"/>
        <w:ind w:firstLine="420" w:firstLineChars="200"/>
        <w:rPr>
          <w:rFonts w:ascii="Times New Roman" w:hAnsi="Times New Roman" w:cs="Times New Roman"/>
          <w:bCs/>
          <w:color w:val="auto"/>
          <w:highlight w:val="none"/>
          <w:lang w:val="en-US" w:eastAsia="zh-CN"/>
        </w:rPr>
      </w:pPr>
      <w:r>
        <w:rPr>
          <w:color w:val="auto"/>
          <w:szCs w:val="21"/>
          <w:highlight w:val="none"/>
        </w:rPr>
        <w:t>4.2.3</w:t>
      </w:r>
      <w:r>
        <w:rPr>
          <w:rFonts w:hint="eastAsia"/>
          <w:color w:val="auto"/>
          <w:szCs w:val="21"/>
          <w:highlight w:val="none"/>
        </w:rPr>
        <w:t>采购人</w:t>
      </w:r>
      <w:r>
        <w:rPr>
          <w:color w:val="auto"/>
          <w:szCs w:val="21"/>
          <w:highlight w:val="none"/>
        </w:rPr>
        <w:t>可视具体情况，延长竞标截止时间和开标时间。</w:t>
      </w:r>
      <w:r>
        <w:rPr>
          <w:rFonts w:hint="eastAsia"/>
          <w:color w:val="auto"/>
          <w:szCs w:val="21"/>
          <w:highlight w:val="none"/>
        </w:rPr>
        <w:t>采购人</w:t>
      </w:r>
      <w:r>
        <w:rPr>
          <w:color w:val="auto"/>
          <w:szCs w:val="21"/>
          <w:highlight w:val="none"/>
        </w:rPr>
        <w:t>至少在磋商文件要求提交响应文件的截止时间前，将变更时间通知所有磋商文件收受人，并在</w:t>
      </w:r>
      <w:r>
        <w:rPr>
          <w:color w:val="auto"/>
          <w:highlight w:val="none"/>
        </w:rPr>
        <w:t>广西国际博览集团有限公司官方网站</w:t>
      </w:r>
      <w:r>
        <w:rPr>
          <w:color w:val="auto"/>
          <w:szCs w:val="21"/>
          <w:highlight w:val="none"/>
        </w:rPr>
        <w:t>https://www.gxexpogp.cn/上发布变更公告。</w:t>
      </w:r>
    </w:p>
    <w:p w14:paraId="303C2DDB">
      <w:pPr>
        <w:adjustRightInd w:val="0"/>
        <w:snapToGrid w:val="0"/>
        <w:spacing w:line="380" w:lineRule="exact"/>
        <w:ind w:firstLine="422"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二、竞争性磋商响应文件的编制
</w:t>
      </w:r>
    </w:p>
    <w:p w14:paraId="44467587">
      <w:pPr>
        <w:adjustRightInd w:val="0"/>
        <w:snapToGrid w:val="0"/>
        <w:spacing w:line="380" w:lineRule="exact"/>
        <w:ind w:firstLine="420" w:firstLineChars="200"/>
        <w:rPr>
          <w:color w:val="auto"/>
          <w:szCs w:val="21"/>
          <w:highlight w:val="none"/>
        </w:rPr>
      </w:pPr>
      <w:r>
        <w:rPr>
          <w:color w:val="auto"/>
          <w:szCs w:val="21"/>
          <w:highlight w:val="none"/>
        </w:rPr>
        <w:t>5. 竞争性磋商响应文件编制基本要求</w:t>
      </w:r>
    </w:p>
    <w:p w14:paraId="7446EEED">
      <w:pPr>
        <w:adjustRightInd w:val="0"/>
        <w:snapToGrid w:val="0"/>
        <w:spacing w:line="380" w:lineRule="exact"/>
        <w:ind w:firstLine="420" w:firstLineChars="200"/>
        <w:rPr>
          <w:color w:val="auto"/>
          <w:szCs w:val="21"/>
          <w:highlight w:val="none"/>
        </w:rPr>
      </w:pPr>
      <w:r>
        <w:rPr>
          <w:color w:val="auto"/>
          <w:szCs w:val="21"/>
          <w:highlight w:val="none"/>
        </w:rPr>
        <w:t>5.1竞标人对竞争性磋商响应文件的编制应按要求装订和封装。</w:t>
      </w:r>
    </w:p>
    <w:p w14:paraId="22FB3B2E">
      <w:pPr>
        <w:adjustRightInd w:val="0"/>
        <w:snapToGrid w:val="0"/>
        <w:spacing w:line="380" w:lineRule="exact"/>
        <w:ind w:firstLine="420" w:firstLineChars="200"/>
        <w:rPr>
          <w:color w:val="auto"/>
          <w:szCs w:val="21"/>
          <w:highlight w:val="none"/>
        </w:rPr>
      </w:pPr>
      <w:r>
        <w:rPr>
          <w:color w:val="auto"/>
          <w:szCs w:val="21"/>
          <w:highlight w:val="none"/>
        </w:rPr>
        <w:t>5.2竞标人提交的竞争性磋商响应文件以及竞标人与采购人就有关</w:t>
      </w:r>
      <w:r>
        <w:rPr>
          <w:rFonts w:hint="eastAsia"/>
          <w:color w:val="auto"/>
          <w:szCs w:val="21"/>
          <w:highlight w:val="none"/>
        </w:rPr>
        <w:t>磋商</w:t>
      </w:r>
      <w:r>
        <w:rPr>
          <w:color w:val="auto"/>
          <w:szCs w:val="21"/>
          <w:highlight w:val="none"/>
        </w:rPr>
        <w:t>的所有来往函电均应使用中文。竞标人提交的支持文件和印刷的文献可以使用别的语言，但其相应内容必须附有中文翻译文本，在解释竞争性磋商响应文件时以翻译文本为主。</w:t>
      </w:r>
    </w:p>
    <w:p w14:paraId="1D7BD90F">
      <w:pPr>
        <w:pStyle w:val="23"/>
        <w:adjustRightInd w:val="0"/>
        <w:snapToGrid w:val="0"/>
        <w:spacing w:line="380" w:lineRule="exact"/>
        <w:ind w:left="2" w:leftChars="1" w:firstLine="420" w:firstLineChars="200"/>
        <w:rPr>
          <w:rFonts w:ascii="Times New Roman" w:hAnsi="Times New Roman" w:cs="Times New Roman"/>
          <w:color w:val="auto"/>
          <w:highlight w:val="none"/>
          <w:u w:val="single"/>
        </w:rPr>
      </w:pPr>
      <w:r>
        <w:rPr>
          <w:rFonts w:ascii="Times New Roman" w:hAnsi="Times New Roman" w:cs="Times New Roman"/>
          <w:color w:val="auto"/>
          <w:highlight w:val="none"/>
        </w:rPr>
        <w:t>5.3竞标人应认真阅读、并充分理解本文件的全部内容（包括所有的补充、修改内容），承诺并履行本文件中各项条款规定及要求。</w:t>
      </w:r>
      <w:r>
        <w:rPr>
          <w:rFonts w:ascii="Times New Roman" w:hAnsi="Times New Roman" w:cs="Times New Roman"/>
          <w:color w:val="auto"/>
          <w:highlight w:val="none"/>
          <w:u w:val="single"/>
        </w:rPr>
        <w:t>对竞争性磋商文件的实质性要求和条件作出响应是指竞标人必须对竞争性磋必须满足的技术参数要求、商务条款及其他内容等实质性要求和条件</w:t>
      </w:r>
      <w:r>
        <w:rPr>
          <w:rFonts w:ascii="Times New Roman" w:hAnsi="Times New Roman" w:cs="Times New Roman"/>
          <w:b/>
          <w:color w:val="auto"/>
          <w:highlight w:val="none"/>
          <w:u w:val="single"/>
        </w:rPr>
        <w:t>作出满足或者优于原要求和条件的承诺</w:t>
      </w:r>
      <w:r>
        <w:rPr>
          <w:rFonts w:ascii="Times New Roman" w:hAnsi="Times New Roman" w:cs="Times New Roman"/>
          <w:color w:val="auto"/>
          <w:highlight w:val="none"/>
        </w:rPr>
        <w:t>。</w:t>
      </w:r>
    </w:p>
    <w:p w14:paraId="15C9894D">
      <w:pPr>
        <w:adjustRightInd w:val="0"/>
        <w:snapToGrid w:val="0"/>
        <w:spacing w:line="380" w:lineRule="exact"/>
        <w:ind w:firstLine="420" w:firstLineChars="200"/>
        <w:rPr>
          <w:color w:val="auto"/>
          <w:szCs w:val="21"/>
          <w:highlight w:val="none"/>
        </w:rPr>
      </w:pPr>
      <w:r>
        <w:rPr>
          <w:color w:val="auto"/>
          <w:szCs w:val="21"/>
          <w:highlight w:val="none"/>
        </w:rPr>
        <w:t>5.4竞争性磋商响应文件必须按本文件的全部内容，包括所有的补充通知及附件进行编制。</w:t>
      </w:r>
    </w:p>
    <w:p w14:paraId="634611CC">
      <w:pPr>
        <w:adjustRightInd w:val="0"/>
        <w:snapToGrid w:val="0"/>
        <w:spacing w:line="380" w:lineRule="exact"/>
        <w:ind w:firstLine="420" w:firstLineChars="200"/>
        <w:rPr>
          <w:color w:val="auto"/>
          <w:szCs w:val="21"/>
          <w:highlight w:val="none"/>
        </w:rPr>
      </w:pPr>
      <w:r>
        <w:rPr>
          <w:color w:val="auto"/>
          <w:szCs w:val="21"/>
          <w:highlight w:val="none"/>
        </w:rPr>
        <w:t>5.5如因竞标人只填写和提供了本文件要求的部分内容和附件，而给评审造成困难，其可能导致的结果和责任由竞标人自行承担。</w:t>
      </w:r>
    </w:p>
    <w:p w14:paraId="55CB8C6F">
      <w:pPr>
        <w:adjustRightInd w:val="0"/>
        <w:snapToGrid w:val="0"/>
        <w:spacing w:line="380" w:lineRule="exact"/>
        <w:ind w:firstLine="420" w:firstLineChars="200"/>
        <w:rPr>
          <w:color w:val="auto"/>
          <w:szCs w:val="21"/>
          <w:highlight w:val="none"/>
        </w:rPr>
      </w:pPr>
      <w:r>
        <w:rPr>
          <w:color w:val="auto"/>
          <w:szCs w:val="21"/>
          <w:highlight w:val="none"/>
        </w:rPr>
        <w:t>5.6竞争性磋商响应文件由价格文件和商务技术文件两个部分组成。</w:t>
      </w:r>
    </w:p>
    <w:p w14:paraId="5B217B09">
      <w:pPr>
        <w:adjustRightInd w:val="0"/>
        <w:snapToGrid w:val="0"/>
        <w:spacing w:line="380" w:lineRule="exact"/>
        <w:ind w:firstLine="420" w:firstLineChars="200"/>
        <w:rPr>
          <w:color w:val="auto"/>
          <w:szCs w:val="21"/>
          <w:highlight w:val="none"/>
        </w:rPr>
      </w:pPr>
      <w:r>
        <w:rPr>
          <w:color w:val="auto"/>
          <w:szCs w:val="21"/>
          <w:highlight w:val="none"/>
        </w:rPr>
        <w:t>5.6.1价格文件</w:t>
      </w:r>
    </w:p>
    <w:p w14:paraId="4C175004">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color w:val="auto"/>
          <w:szCs w:val="21"/>
          <w:highlight w:val="none"/>
        </w:rPr>
        <w:t>1）</w:t>
      </w:r>
      <w:r>
        <w:rPr>
          <w:b/>
          <w:color w:val="auto"/>
          <w:szCs w:val="21"/>
          <w:highlight w:val="none"/>
        </w:rPr>
        <w:t>报价表</w:t>
      </w:r>
      <w:r>
        <w:rPr>
          <w:color w:val="auto"/>
          <w:szCs w:val="21"/>
          <w:highlight w:val="none"/>
        </w:rPr>
        <w:t>；（附件二）</w:t>
      </w:r>
      <w:r>
        <w:rPr>
          <w:b/>
          <w:color w:val="auto"/>
          <w:szCs w:val="21"/>
          <w:highlight w:val="none"/>
        </w:rPr>
        <w:t>（必须提供，同时</w:t>
      </w:r>
      <w:r>
        <w:rPr>
          <w:b/>
          <w:bCs/>
          <w:color w:val="auto"/>
          <w:szCs w:val="21"/>
          <w:highlight w:val="none"/>
        </w:rPr>
        <w:t>由法定代表人或委托代理人签名并加盖单位公章，</w:t>
      </w:r>
      <w:r>
        <w:rPr>
          <w:b/>
          <w:color w:val="auto"/>
          <w:szCs w:val="21"/>
          <w:highlight w:val="none"/>
        </w:rPr>
        <w:t>否则磋商响应无效）</w:t>
      </w:r>
    </w:p>
    <w:p w14:paraId="2FB2873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5.6.2 商务技术文件（应该有的必须提供，如未提供，磋商小组有权拒绝其竞争性磋商响应文件）
</w:t>
      </w:r>
    </w:p>
    <w:p w14:paraId="6A253EAD">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w:t>
      </w:r>
      <w:r>
        <w:rPr>
          <w:rFonts w:ascii="Times New Roman" w:hAnsi="Times New Roman" w:eastAsia="宋体" w:cs="Times New Roman"/>
          <w:b/>
          <w:bCs/>
          <w:color w:val="auto"/>
          <w:kern w:val="2"/>
          <w:szCs w:val="21"/>
          <w:highlight w:val="none"/>
          <w:lang w:val="en-US" w:eastAsia="zh-CN" w:bidi="ar-SA"/>
        </w:rPr>
        <w:t>磋商函；</w:t>
      </w:r>
      <w:r>
        <w:rPr>
          <w:rFonts w:ascii="Times New Roman" w:hAnsi="Times New Roman" w:eastAsia="宋体" w:cs="Times New Roman"/>
          <w:color w:val="auto"/>
          <w:kern w:val="2"/>
          <w:szCs w:val="21"/>
          <w:highlight w:val="none"/>
          <w:lang w:val="en-US" w:eastAsia="zh-CN" w:bidi="ar-SA"/>
        </w:rPr>
        <w:t>（附件一）（</w:t>
      </w:r>
      <w:r>
        <w:rPr>
          <w:rFonts w:ascii="Times New Roman" w:hAnsi="Times New Roman" w:eastAsia="宋体" w:cs="Times New Roman"/>
          <w:b/>
          <w:bCs/>
          <w:color w:val="auto"/>
          <w:kern w:val="2"/>
          <w:szCs w:val="21"/>
          <w:highlight w:val="none"/>
          <w:lang w:val="en-US" w:eastAsia="zh-CN" w:bidi="ar-SA"/>
        </w:rPr>
        <w:t>必须提供，同时由法定代表人或委托代理人签名并加盖单位公章，否则磋商响应无效</w:t>
      </w:r>
      <w:r>
        <w:rPr>
          <w:rFonts w:ascii="Times New Roman" w:hAnsi="Times New Roman" w:eastAsia="宋体" w:cs="Times New Roman"/>
          <w:color w:val="auto"/>
          <w:kern w:val="2"/>
          <w:szCs w:val="21"/>
          <w:highlight w:val="none"/>
          <w:lang w:val="en-US" w:eastAsia="zh-CN" w:bidi="ar-SA"/>
        </w:rPr>
        <w:t>）
</w:t>
      </w:r>
    </w:p>
    <w:p w14:paraId="75C72C1D">
      <w:pPr>
        <w:adjustRightInd w:val="0"/>
        <w:snapToGrid w:val="0"/>
        <w:spacing w:line="380" w:lineRule="exact"/>
        <w:ind w:firstLine="420"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2）</w:t>
      </w:r>
      <w:r>
        <w:rPr>
          <w:rFonts w:ascii="Times New Roman" w:hAnsi="Times New Roman" w:eastAsia="宋体" w:cs="Times New Roman"/>
          <w:b/>
          <w:bCs/>
          <w:color w:val="auto"/>
          <w:kern w:val="2"/>
          <w:szCs w:val="21"/>
          <w:highlight w:val="none"/>
          <w:lang w:val="en-US" w:eastAsia="zh-CN" w:bidi="ar-SA"/>
        </w:rPr>
        <w:t>服务方案（根据竞争性磋商采购文件中的要求或评分细则内容要求提供，需包含新媒体运营策略、内容创作计划、推广方案、数据分析等内容）</w:t>
      </w:r>
      <w:r>
        <w:rPr>
          <w:rFonts w:ascii="Times New Roman" w:hAnsi="Times New Roman" w:eastAsia="宋体" w:cs="Times New Roman"/>
          <w:color w:val="auto"/>
          <w:kern w:val="2"/>
          <w:szCs w:val="21"/>
          <w:highlight w:val="none"/>
          <w:lang w:val="en-US" w:eastAsia="zh-CN" w:bidi="ar-SA"/>
        </w:rPr>
        <w:t>（附件三）；</w:t>
      </w:r>
      <w:r>
        <w:rPr>
          <w:rFonts w:ascii="Times New Roman" w:hAnsi="Times New Roman" w:eastAsia="宋体" w:cs="Times New Roman"/>
          <w:b/>
          <w:bCs/>
          <w:color w:val="auto"/>
          <w:kern w:val="2"/>
          <w:szCs w:val="21"/>
          <w:highlight w:val="none"/>
          <w:lang w:val="en-US" w:eastAsia="zh-CN" w:bidi="ar-SA"/>
        </w:rPr>
        <w:t>（必须提供，同时由法定代表人或委托代理人签名并加盖单位公章，否则磋商响应无效）
</w:t>
      </w:r>
    </w:p>
    <w:p w14:paraId="724DF94D">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3</w:t>
      </w:r>
      <w:r>
        <w:rPr>
          <w:rFonts w:ascii="Times New Roman" w:hAnsi="Times New Roman" w:eastAsia="宋体" w:cs="Times New Roman"/>
          <w:b/>
          <w:bCs/>
          <w:color w:val="auto"/>
          <w:kern w:val="2"/>
          <w:szCs w:val="21"/>
          <w:highlight w:val="none"/>
          <w:lang w:val="en-US" w:eastAsia="zh-CN" w:bidi="ar-SA"/>
        </w:rPr>
        <w:t>）商务、技术响应、偏离情况说明表</w:t>
      </w:r>
      <w:r>
        <w:rPr>
          <w:rFonts w:ascii="Times New Roman" w:hAnsi="Times New Roman" w:eastAsia="宋体" w:cs="Times New Roman"/>
          <w:color w:val="auto"/>
          <w:kern w:val="2"/>
          <w:szCs w:val="21"/>
          <w:highlight w:val="none"/>
          <w:lang w:val="en-US" w:eastAsia="zh-CN" w:bidi="ar-SA"/>
        </w:rPr>
        <w:t>（附件四）；（</w:t>
      </w:r>
      <w:r>
        <w:rPr>
          <w:rFonts w:ascii="Times New Roman" w:hAnsi="Times New Roman" w:eastAsia="宋体" w:cs="Times New Roman"/>
          <w:b/>
          <w:bCs/>
          <w:color w:val="auto"/>
          <w:kern w:val="2"/>
          <w:szCs w:val="21"/>
          <w:highlight w:val="none"/>
          <w:lang w:val="en-US" w:eastAsia="zh-CN" w:bidi="ar-SA"/>
        </w:rPr>
        <w:t>必须提供，同时由法定代表人或委托代理人签名并加盖单位公章，否则磋商响应无效）</w:t>
      </w:r>
      <w:r>
        <w:rPr>
          <w:rFonts w:ascii="Times New Roman" w:hAnsi="Times New Roman" w:eastAsia="宋体" w:cs="Times New Roman"/>
          <w:color w:val="auto"/>
          <w:kern w:val="2"/>
          <w:szCs w:val="21"/>
          <w:highlight w:val="none"/>
          <w:lang w:val="en-US" w:eastAsia="zh-CN" w:bidi="ar-SA"/>
        </w:rPr>
        <w:t>
</w:t>
      </w:r>
    </w:p>
    <w:p w14:paraId="29CD7617">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4）</w:t>
      </w:r>
      <w:r>
        <w:rPr>
          <w:rFonts w:ascii="Times New Roman" w:hAnsi="Times New Roman" w:eastAsia="宋体" w:cs="Times New Roman"/>
          <w:b/>
          <w:bCs/>
          <w:color w:val="auto"/>
          <w:kern w:val="2"/>
          <w:szCs w:val="21"/>
          <w:highlight w:val="none"/>
          <w:lang w:val="en-US" w:eastAsia="zh-CN" w:bidi="ar-SA"/>
        </w:rPr>
        <w:t>法定代表人授权书原件及委托代理人身份证复印件（委托代理时必须提供；法人亲自参加时请提供法人身份证）</w:t>
      </w:r>
      <w:r>
        <w:rPr>
          <w:rFonts w:ascii="Times New Roman" w:hAnsi="Times New Roman" w:eastAsia="宋体" w:cs="Times New Roman"/>
          <w:color w:val="auto"/>
          <w:kern w:val="2"/>
          <w:szCs w:val="21"/>
          <w:highlight w:val="none"/>
          <w:lang w:val="en-US" w:eastAsia="zh-CN" w:bidi="ar-SA"/>
        </w:rPr>
        <w:t>（附件五）；
</w:t>
      </w:r>
    </w:p>
    <w:p w14:paraId="6E7BF31D">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5）竞标人有效的</w:t>
      </w:r>
      <w:r>
        <w:rPr>
          <w:rFonts w:ascii="Times New Roman" w:hAnsi="Times New Roman" w:eastAsia="宋体" w:cs="Times New Roman"/>
          <w:b/>
          <w:bCs/>
          <w:color w:val="auto"/>
          <w:kern w:val="2"/>
          <w:szCs w:val="21"/>
          <w:highlight w:val="none"/>
          <w:lang w:val="en-US" w:eastAsia="zh-CN" w:bidi="ar-SA"/>
        </w:rPr>
        <w:t xml:space="preserve"> “法人营业执照”</w:t>
      </w:r>
      <w:r>
        <w:rPr>
          <w:rFonts w:ascii="Times New Roman" w:hAnsi="Times New Roman" w:eastAsia="宋体" w:cs="Times New Roman"/>
          <w:color w:val="auto"/>
          <w:kern w:val="2"/>
          <w:szCs w:val="21"/>
          <w:highlight w:val="none"/>
          <w:lang w:val="en-US" w:eastAsia="zh-CN" w:bidi="ar-SA"/>
        </w:rPr>
        <w:t xml:space="preserve"> 复印件（加盖单位公章）；</w:t>
      </w:r>
      <w:r>
        <w:rPr>
          <w:rFonts w:ascii="Times New Roman" w:hAnsi="Times New Roman" w:eastAsia="宋体" w:cs="Times New Roman"/>
          <w:b/>
          <w:bCs/>
          <w:color w:val="auto"/>
          <w:kern w:val="2"/>
          <w:szCs w:val="21"/>
          <w:highlight w:val="none"/>
          <w:lang w:val="en-US" w:eastAsia="zh-CN" w:bidi="ar-SA"/>
        </w:rPr>
        <w:t>（必须提供）</w:t>
      </w:r>
      <w:r>
        <w:rPr>
          <w:rFonts w:ascii="Times New Roman" w:hAnsi="Times New Roman" w:eastAsia="宋体" w:cs="Times New Roman"/>
          <w:color w:val="auto"/>
          <w:kern w:val="2"/>
          <w:szCs w:val="21"/>
          <w:highlight w:val="none"/>
          <w:lang w:val="en-US" w:eastAsia="zh-CN" w:bidi="ar-SA"/>
        </w:rPr>
        <w:t>
</w:t>
      </w:r>
    </w:p>
    <w:p w14:paraId="6621E669">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6）竞标人类似服务的业绩竞标人同类项目实施情况一览表（加盖单位公章，需体现新媒体代运营相关业绩）；
</w:t>
      </w:r>
    </w:p>
    <w:p w14:paraId="17743ABD">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7）其他特殊资质证明；
</w:t>
      </w:r>
    </w:p>
    <w:p w14:paraId="7F1BDCA2">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8）竞标人认为可以证明其能力或业绩的其他材料；
</w:t>
      </w:r>
    </w:p>
    <w:p w14:paraId="64B26418">
      <w:pPr>
        <w:adjustRightInd w:val="0"/>
        <w:snapToGrid w:val="0"/>
        <w:spacing w:line="380" w:lineRule="exact"/>
        <w:ind w:firstLine="422"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9）项目实施人员一览表（必须提供，需明确新媒体运营团队成员的职责和专业背景）；</w:t>
      </w:r>
      <w:r>
        <w:rPr>
          <w:rFonts w:ascii="Times New Roman" w:hAnsi="Times New Roman" w:eastAsia="宋体" w:cs="Times New Roman"/>
          <w:color w:val="auto"/>
          <w:kern w:val="2"/>
          <w:szCs w:val="21"/>
          <w:highlight w:val="none"/>
          <w:lang w:val="en-US" w:eastAsia="zh-CN" w:bidi="ar-SA"/>
        </w:rPr>
        <w:t>
</w:t>
      </w:r>
    </w:p>
    <w:p w14:paraId="11E4D54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10）新媒体代运营相关的服务计划，如账号运营周期、内容发布频率等；
</w:t>
      </w:r>
    </w:p>
    <w:p w14:paraId="55149B45">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11）竞标人拥有检测设施的情况和现状（如有与新媒体数据分析相关的工具或平台可进行说明）；</w:t>
      </w:r>
    </w:p>
    <w:p w14:paraId="5F363C7A">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12）技术服务、技术培训、售后服务的内容和措施（需围绕新媒体代运营服务展开，如账号维护、数据反馈、培训方案等）；
</w:t>
      </w:r>
    </w:p>
    <w:p w14:paraId="01D394C3">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13）竞标人承诺给予招标人的各种优惠条件，包括售后服务、备品备件、专用耗材等方面的优惠（结合新媒体代运营服务，如赠送额外的推广服务等）；
</w:t>
      </w:r>
    </w:p>
    <w:p w14:paraId="7FD81B97">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14）竞标人对本项目的合理化建议和改进措施（针对新媒体代运营提出创新性想法）；
</w:t>
      </w:r>
    </w:p>
    <w:p w14:paraId="1ECB3643">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15）本竞争性磋商文件要求提供的其他资料和需要说明的问题。
</w:t>
      </w:r>
    </w:p>
    <w:p w14:paraId="6BD58A62">
      <w:pPr>
        <w:adjustRightInd w:val="0"/>
        <w:snapToGrid w:val="0"/>
        <w:spacing w:line="380" w:lineRule="exact"/>
        <w:ind w:firstLine="420" w:firstLineChars="200"/>
        <w:rPr>
          <w:color w:val="auto"/>
          <w:szCs w:val="21"/>
          <w:highlight w:val="none"/>
        </w:rPr>
      </w:pPr>
      <w:r>
        <w:rPr>
          <w:color w:val="auto"/>
          <w:szCs w:val="21"/>
          <w:highlight w:val="none"/>
        </w:rPr>
        <w:t>6. 计量单位</w:t>
      </w:r>
    </w:p>
    <w:p w14:paraId="79581526">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color w:val="auto"/>
          <w:szCs w:val="21"/>
          <w:highlight w:val="none"/>
        </w:rPr>
        <w:t>6.1除技术要求中另有规定外，本文件所要求使用的计量单位均应采用国家法定计量单位。</w:t>
      </w:r>
    </w:p>
    <w:p w14:paraId="7073F56E">
      <w:pPr>
        <w:adjustRightInd w:val="0"/>
        <w:snapToGrid w:val="0"/>
        <w:spacing w:line="380" w:lineRule="exact"/>
        <w:ind w:firstLine="422"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三、报价要求
</w:t>
      </w:r>
    </w:p>
    <w:p w14:paraId="4B531F26">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7.1 对于本文件中未列明，而竞标人认为必需的费用也需列入总报价。在合同实施时，采购人将不予支付成交供应商没有列入的项目费用，并认为此项目的费用已包括在总报价中。
</w:t>
      </w:r>
    </w:p>
    <w:p w14:paraId="260E421F">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7.2 成交供应商负责本项目的新媒体代运营服务全部工作。
</w:t>
      </w:r>
    </w:p>
    <w:p w14:paraId="399D6AF7">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7.3 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
</w:t>
      </w:r>
    </w:p>
    <w:p w14:paraId="4EB5B6BE">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7.4 竞标人须就新媒体代运营服务所有内容作完整唯一报价。
</w:t>
      </w:r>
    </w:p>
    <w:p w14:paraId="724C242D">
      <w:pPr>
        <w:adjustRightInd w:val="0"/>
        <w:snapToGrid w:val="0"/>
        <w:spacing w:line="380" w:lineRule="exact"/>
        <w:ind w:firstLine="422"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四、竞争性磋商响应文件的份数、封装和递交
</w:t>
      </w:r>
    </w:p>
    <w:p w14:paraId="602F8DD1">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8. 竞争性磋商响应文件的份数和封装
</w:t>
      </w:r>
    </w:p>
    <w:p w14:paraId="44E9C8DD">
      <w:pPr>
        <w:pStyle w:val="23"/>
        <w:adjustRightInd w:val="0"/>
        <w:snapToGrid w:val="0"/>
        <w:spacing w:line="38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8.1竞标人应将响应文件正、副本分别装订成册，在每个文本封面上标明项目名称、项目编号、</w:t>
      </w:r>
      <w:r>
        <w:rPr>
          <w:rFonts w:hint="eastAsia" w:ascii="Times New Roman" w:hAnsi="Times New Roman" w:cs="Times New Roman"/>
          <w:color w:val="auto"/>
          <w:highlight w:val="none"/>
        </w:rPr>
        <w:t>磋商竞标人</w:t>
      </w:r>
      <w:r>
        <w:rPr>
          <w:rFonts w:ascii="Times New Roman" w:hAnsi="Times New Roman" w:cs="Times New Roman"/>
          <w:color w:val="auto"/>
          <w:highlight w:val="none"/>
        </w:rPr>
        <w:t>名称等内容，并在每个文本封面上标明“正本”或“副本”字样。竞标人应将正、副本响应文件（</w:t>
      </w:r>
      <w:r>
        <w:rPr>
          <w:rFonts w:ascii="Times New Roman" w:hAnsi="Times New Roman" w:cs="Times New Roman"/>
          <w:b/>
          <w:bCs/>
          <w:color w:val="auto"/>
          <w:highlight w:val="none"/>
        </w:rPr>
        <w:t>正本一份、副本二份</w:t>
      </w:r>
      <w:r>
        <w:rPr>
          <w:rFonts w:ascii="Times New Roman" w:hAnsi="Times New Roman" w:cs="Times New Roman"/>
          <w:color w:val="auto"/>
          <w:highlight w:val="none"/>
        </w:rPr>
        <w:t>）装入响应文件袋中加以密封，并在每一封贴处密封签章（公章、密封章、法定代表人或其委托代理人签字四种方式之一均可）。</w:t>
      </w:r>
    </w:p>
    <w:p w14:paraId="61C0EAD8">
      <w:pPr>
        <w:adjustRightInd w:val="0"/>
        <w:snapToGrid w:val="0"/>
        <w:spacing w:line="380" w:lineRule="exact"/>
        <w:ind w:firstLine="420" w:firstLineChars="200"/>
        <w:rPr>
          <w:color w:val="auto"/>
          <w:szCs w:val="21"/>
          <w:highlight w:val="none"/>
        </w:rPr>
      </w:pPr>
      <w:r>
        <w:rPr>
          <w:color w:val="auto"/>
          <w:szCs w:val="21"/>
          <w:highlight w:val="none"/>
        </w:rPr>
        <w:t>8.2竞争性磋商响应文件的信封上应写明：</w:t>
      </w:r>
    </w:p>
    <w:p w14:paraId="6A1C62DB">
      <w:pPr>
        <w:adjustRightInd w:val="0"/>
        <w:snapToGrid w:val="0"/>
        <w:spacing w:line="380" w:lineRule="exact"/>
        <w:ind w:firstLine="420" w:firstLineChars="200"/>
        <w:rPr>
          <w:color w:val="auto"/>
          <w:szCs w:val="21"/>
          <w:highlight w:val="none"/>
        </w:rPr>
      </w:pPr>
      <w:r>
        <w:rPr>
          <w:color w:val="auto"/>
          <w:szCs w:val="21"/>
          <w:highlight w:val="none"/>
        </w:rPr>
        <w:t>1）竞争性磋商项目编号；</w:t>
      </w:r>
    </w:p>
    <w:p w14:paraId="63228CC3">
      <w:pPr>
        <w:adjustRightInd w:val="0"/>
        <w:snapToGrid w:val="0"/>
        <w:spacing w:line="380" w:lineRule="exact"/>
        <w:ind w:firstLine="420" w:firstLineChars="200"/>
        <w:rPr>
          <w:color w:val="auto"/>
          <w:szCs w:val="21"/>
          <w:highlight w:val="none"/>
        </w:rPr>
      </w:pPr>
      <w:r>
        <w:rPr>
          <w:color w:val="auto"/>
          <w:szCs w:val="21"/>
          <w:highlight w:val="none"/>
        </w:rPr>
        <w:t>2）竞争性磋商项目名称；</w:t>
      </w:r>
    </w:p>
    <w:p w14:paraId="72976E3B">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color w:val="auto"/>
          <w:szCs w:val="21"/>
          <w:highlight w:val="none"/>
        </w:rPr>
        <w:t>3）磋商</w:t>
      </w:r>
      <w:r>
        <w:rPr>
          <w:rFonts w:hint="eastAsia"/>
          <w:color w:val="auto"/>
          <w:szCs w:val="21"/>
          <w:highlight w:val="none"/>
        </w:rPr>
        <w:t>竞标人</w:t>
      </w:r>
      <w:r>
        <w:rPr>
          <w:color w:val="auto"/>
          <w:szCs w:val="21"/>
          <w:highlight w:val="none"/>
        </w:rPr>
        <w:t>名称。</w:t>
      </w:r>
    </w:p>
    <w:p w14:paraId="2C080E9A">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9. 竞争性磋商响应文件的递交
</w:t>
      </w:r>
    </w:p>
    <w:p w14:paraId="5B10263F">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 xml:space="preserve">9.1 所有竞争性磋商的响应文件应于 2025 年 </w:t>
      </w:r>
      <w:r>
        <w:rPr>
          <w:rFonts w:hint="eastAsia" w:cs="Times New Roman"/>
          <w:color w:val="auto"/>
          <w:kern w:val="2"/>
          <w:szCs w:val="21"/>
          <w:highlight w:val="none"/>
          <w:lang w:val="en-US" w:eastAsia="zh-CN" w:bidi="ar-SA"/>
        </w:rPr>
        <w:t>7</w:t>
      </w:r>
      <w:r>
        <w:rPr>
          <w:rFonts w:ascii="Times New Roman" w:hAnsi="Times New Roman" w:eastAsia="宋体" w:cs="Times New Roman"/>
          <w:color w:val="auto"/>
          <w:kern w:val="2"/>
          <w:szCs w:val="21"/>
          <w:highlight w:val="none"/>
          <w:lang w:val="en-US" w:eastAsia="zh-CN" w:bidi="ar-SA"/>
        </w:rPr>
        <w:t xml:space="preserve"> 月 </w:t>
      </w:r>
      <w:r>
        <w:rPr>
          <w:rFonts w:hint="eastAsia" w:cs="Times New Roman"/>
          <w:color w:val="auto"/>
          <w:kern w:val="2"/>
          <w:szCs w:val="21"/>
          <w:highlight w:val="none"/>
          <w:lang w:val="en-US" w:eastAsia="zh-CN" w:bidi="ar-SA"/>
        </w:rPr>
        <w:t>1</w:t>
      </w:r>
      <w:r>
        <w:rPr>
          <w:rFonts w:ascii="Times New Roman" w:hAnsi="Times New Roman" w:eastAsia="宋体" w:cs="Times New Roman"/>
          <w:color w:val="auto"/>
          <w:kern w:val="2"/>
          <w:szCs w:val="21"/>
          <w:highlight w:val="none"/>
          <w:lang w:val="en-US" w:eastAsia="zh-CN" w:bidi="ar-SA"/>
        </w:rPr>
        <w:t>日 9:00 前递交到广西南宁市良庆区平乐大道 10 号商务街 4 号楼 213 会议室。
</w:t>
      </w:r>
    </w:p>
    <w:p w14:paraId="0582AC6C">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9.2 竞争性磋商响应文件从递交截止日期后 60 天内有效。
</w:t>
      </w:r>
    </w:p>
    <w:p w14:paraId="73C6227A">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rFonts w:ascii="Times New Roman" w:hAnsi="Times New Roman" w:eastAsia="宋体" w:cs="Times New Roman"/>
          <w:color w:val="auto"/>
          <w:kern w:val="2"/>
          <w:szCs w:val="21"/>
          <w:highlight w:val="none"/>
          <w:lang w:val="en-US" w:eastAsia="zh-CN" w:bidi="ar-SA"/>
        </w:rPr>
        <w:t>10. 迟交的竞争性磋商响应文件
</w:t>
      </w:r>
    </w:p>
    <w:p w14:paraId="403C8229">
      <w:pPr>
        <w:adjustRightInd w:val="0"/>
        <w:snapToGrid w:val="0"/>
        <w:spacing w:line="380" w:lineRule="exact"/>
        <w:ind w:firstLine="420" w:firstLineChars="200"/>
        <w:rPr>
          <w:rFonts w:ascii="Times New Roman" w:hAnsi="Times New Roman" w:eastAsia="宋体" w:cs="Times New Roman"/>
          <w:color w:val="auto"/>
          <w:kern w:val="2"/>
          <w:szCs w:val="21"/>
          <w:highlight w:val="none"/>
          <w:lang w:val="en-US" w:eastAsia="zh-CN" w:bidi="ar-SA"/>
        </w:rPr>
      </w:pPr>
      <w:r>
        <w:rPr>
          <w:color w:val="auto"/>
          <w:szCs w:val="21"/>
          <w:highlight w:val="none"/>
        </w:rPr>
        <w:t>10.1</w:t>
      </w:r>
      <w:r>
        <w:rPr>
          <w:rFonts w:hint="eastAsia"/>
          <w:color w:val="auto"/>
          <w:szCs w:val="21"/>
          <w:highlight w:val="none"/>
          <w:u w:val="single"/>
        </w:rPr>
        <w:t>采购人</w:t>
      </w:r>
      <w:r>
        <w:rPr>
          <w:color w:val="auto"/>
          <w:szCs w:val="21"/>
          <w:highlight w:val="none"/>
        </w:rPr>
        <w:t>将拒绝或原封退回在其规定的递交竞争性磋商响应文件截止时间之后收到的任何竞争性磋商响应文件。</w:t>
      </w:r>
    </w:p>
    <w:p w14:paraId="73B235B0">
      <w:pPr>
        <w:numPr>
          <w:ilvl w:val="0"/>
          <w:numId w:val="2"/>
        </w:numPr>
        <w:adjustRightInd w:val="0"/>
        <w:snapToGrid w:val="0"/>
        <w:spacing w:line="380" w:lineRule="exact"/>
        <w:ind w:firstLine="422" w:firstLineChars="200"/>
        <w:rPr>
          <w:rFonts w:ascii="Times New Roman" w:hAnsi="Times New Roman" w:eastAsia="宋体" w:cs="Times New Roman"/>
          <w:b/>
          <w:bCs/>
          <w:color w:val="auto"/>
          <w:kern w:val="2"/>
          <w:szCs w:val="21"/>
          <w:highlight w:val="none"/>
          <w:lang w:val="en-US" w:eastAsia="zh-CN" w:bidi="ar-SA"/>
        </w:rPr>
      </w:pPr>
      <w:r>
        <w:rPr>
          <w:rFonts w:ascii="Times New Roman" w:hAnsi="Times New Roman" w:eastAsia="宋体" w:cs="Times New Roman"/>
          <w:b/>
          <w:bCs/>
          <w:color w:val="auto"/>
          <w:kern w:val="2"/>
          <w:szCs w:val="21"/>
          <w:highlight w:val="none"/>
          <w:lang w:val="en-US" w:eastAsia="zh-CN" w:bidi="ar-SA"/>
        </w:rPr>
        <w:t>响应文件评审程序
</w:t>
      </w:r>
    </w:p>
    <w:p w14:paraId="0A8CFDC4">
      <w:pPr>
        <w:adjustRightInd w:val="0"/>
        <w:snapToGrid w:val="0"/>
        <w:spacing w:line="380" w:lineRule="exact"/>
        <w:ind w:firstLine="420" w:firstLineChars="200"/>
        <w:rPr>
          <w:color w:val="auto"/>
          <w:szCs w:val="21"/>
          <w:highlight w:val="none"/>
        </w:rPr>
      </w:pPr>
      <w:r>
        <w:rPr>
          <w:color w:val="auto"/>
          <w:kern w:val="0"/>
          <w:szCs w:val="21"/>
          <w:highlight w:val="none"/>
        </w:rPr>
        <w:t>磋商小组由采购人代表共3人以上单数组成。</w:t>
      </w:r>
    </w:p>
    <w:p w14:paraId="633D07C1">
      <w:pPr>
        <w:ind w:firstLine="420" w:firstLineChars="200"/>
        <w:rPr>
          <w:color w:val="auto"/>
          <w:highlight w:val="none"/>
        </w:rPr>
      </w:pPr>
      <w:r>
        <w:rPr>
          <w:color w:val="auto"/>
          <w:highlight w:val="none"/>
        </w:rPr>
        <w:t>11.1实质审查</w:t>
      </w:r>
    </w:p>
    <w:p w14:paraId="58B839DD">
      <w:pPr>
        <w:pStyle w:val="23"/>
        <w:adjustRightInd w:val="0"/>
        <w:snapToGrid w:val="0"/>
        <w:spacing w:line="38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ascii="Times New Roman" w:hAnsi="Times New Roman" w:cs="Times New Roman"/>
          <w:color w:val="auto"/>
          <w:kern w:val="0"/>
          <w:highlight w:val="none"/>
        </w:rPr>
        <w:t>磋商</w:t>
      </w:r>
      <w:r>
        <w:rPr>
          <w:rFonts w:ascii="Times New Roman" w:hAnsi="Times New Roman" w:cs="Times New Roman"/>
          <w:color w:val="auto"/>
          <w:highlight w:val="none"/>
        </w:rPr>
        <w:t>小组审查竞争性磋商响应文件的实质性内容是否符合竞争性磋商文件的实质性要求。</w:t>
      </w:r>
    </w:p>
    <w:p w14:paraId="57ED7F3E">
      <w:pPr>
        <w:pStyle w:val="23"/>
        <w:adjustRightInd w:val="0"/>
        <w:snapToGrid w:val="0"/>
        <w:spacing w:line="38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（2）</w:t>
      </w:r>
      <w:r>
        <w:rPr>
          <w:rFonts w:ascii="Times New Roman" w:hAnsi="Times New Roman" w:cs="Times New Roman"/>
          <w:color w:val="auto"/>
          <w:kern w:val="0"/>
          <w:highlight w:val="none"/>
        </w:rPr>
        <w:t>磋商</w:t>
      </w:r>
      <w:r>
        <w:rPr>
          <w:rFonts w:ascii="Times New Roman" w:hAnsi="Times New Roman" w:cs="Times New Roman"/>
          <w:color w:val="auto"/>
          <w:highlight w:val="none"/>
        </w:rPr>
        <w:t>小组在对竞争性磋商响应文件的有效性、完整性和响应程度进行审查时，可以要求</w:t>
      </w:r>
      <w:r>
        <w:rPr>
          <w:rFonts w:hint="eastAsia" w:ascii="Times New Roman" w:hAnsi="Times New Roman" w:cs="Times New Roman"/>
          <w:color w:val="auto"/>
          <w:highlight w:val="none"/>
        </w:rPr>
        <w:t>竞标人</w:t>
      </w:r>
      <w:r>
        <w:rPr>
          <w:rFonts w:ascii="Times New Roman" w:hAnsi="Times New Roman" w:cs="Times New Roman"/>
          <w:color w:val="auto"/>
          <w:highlight w:val="none"/>
        </w:rPr>
        <w:t>对响应文件中含义不明确、同类问题表述不一致或者有明显文字和计算错误的内容等作出必要的澄清、说明或者更正。</w:t>
      </w:r>
      <w:r>
        <w:rPr>
          <w:rFonts w:hint="eastAsia" w:ascii="Times New Roman" w:hAnsi="Times New Roman" w:cs="Times New Roman"/>
          <w:color w:val="auto"/>
          <w:highlight w:val="none"/>
        </w:rPr>
        <w:t>竞标人</w:t>
      </w:r>
      <w:r>
        <w:rPr>
          <w:rFonts w:ascii="Times New Roman" w:hAnsi="Times New Roman" w:cs="Times New Roman"/>
          <w:color w:val="auto"/>
          <w:highlight w:val="none"/>
        </w:rPr>
        <w:t>的澄清、说明或者更正不得超出响应文件的范围或者改变响应文件的实质性内容。</w:t>
      </w:r>
    </w:p>
    <w:p w14:paraId="451EEFFE">
      <w:pPr>
        <w:pStyle w:val="23"/>
        <w:adjustRightInd w:val="0"/>
        <w:snapToGrid w:val="0"/>
        <w:spacing w:line="380" w:lineRule="exact"/>
        <w:ind w:firstLine="420" w:firstLineChars="200"/>
        <w:rPr>
          <w:rFonts w:ascii="Times New Roman" w:hAnsi="Times New Roman" w:cs="Times New Roman"/>
          <w:color w:val="auto"/>
          <w:highlight w:val="none"/>
        </w:rPr>
      </w:pPr>
      <w:r>
        <w:rPr>
          <w:rFonts w:ascii="Times New Roman" w:hAnsi="Times New Roman" w:cs="Times New Roman"/>
          <w:color w:val="auto"/>
          <w:kern w:val="0"/>
          <w:highlight w:val="none"/>
        </w:rPr>
        <w:t>磋商</w:t>
      </w:r>
      <w:r>
        <w:rPr>
          <w:rFonts w:ascii="Times New Roman" w:hAnsi="Times New Roman" w:cs="Times New Roman"/>
          <w:color w:val="auto"/>
          <w:highlight w:val="none"/>
        </w:rPr>
        <w:t>小组要求</w:t>
      </w:r>
      <w:r>
        <w:rPr>
          <w:rFonts w:hint="eastAsia" w:ascii="Times New Roman" w:hAnsi="Times New Roman" w:cs="Times New Roman"/>
          <w:color w:val="auto"/>
          <w:highlight w:val="none"/>
        </w:rPr>
        <w:t>竞标人</w:t>
      </w:r>
      <w:r>
        <w:rPr>
          <w:rFonts w:ascii="Times New Roman" w:hAnsi="Times New Roman" w:cs="Times New Roman"/>
          <w:color w:val="auto"/>
          <w:highlight w:val="none"/>
        </w:rPr>
        <w:t>澄清、说明或者更正响应文件以书面形式作出。</w:t>
      </w:r>
      <w:r>
        <w:rPr>
          <w:rFonts w:hint="eastAsia" w:ascii="Times New Roman" w:hAnsi="Times New Roman" w:cs="Times New Roman"/>
          <w:color w:val="auto"/>
          <w:highlight w:val="none"/>
        </w:rPr>
        <w:t>竞标人</w:t>
      </w:r>
      <w:r>
        <w:rPr>
          <w:rFonts w:ascii="Times New Roman" w:hAnsi="Times New Roman" w:cs="Times New Roman"/>
          <w:color w:val="auto"/>
          <w:highlight w:val="none"/>
        </w:rPr>
        <w:t>的澄清、说明或者更正应当由法定代表人或其授权代表签字或者加盖公章。</w:t>
      </w:r>
    </w:p>
    <w:p w14:paraId="360CDAEE">
      <w:pPr>
        <w:adjustRightInd w:val="0"/>
        <w:snapToGrid w:val="0"/>
        <w:spacing w:line="380" w:lineRule="exact"/>
        <w:ind w:firstLine="420" w:firstLineChars="200"/>
        <w:rPr>
          <w:color w:val="auto"/>
          <w:szCs w:val="21"/>
          <w:highlight w:val="none"/>
          <w:u w:val="single"/>
        </w:rPr>
      </w:pPr>
      <w:r>
        <w:rPr>
          <w:color w:val="auto"/>
          <w:szCs w:val="21"/>
          <w:highlight w:val="none"/>
          <w:u w:val="single"/>
        </w:rPr>
        <w:t>未实质性响应</w:t>
      </w:r>
      <w:r>
        <w:rPr>
          <w:rFonts w:hint="eastAsia"/>
          <w:color w:val="auto"/>
          <w:szCs w:val="21"/>
          <w:highlight w:val="none"/>
          <w:u w:val="single"/>
        </w:rPr>
        <w:t>磋商</w:t>
      </w:r>
      <w:r>
        <w:rPr>
          <w:color w:val="auto"/>
          <w:szCs w:val="21"/>
          <w:highlight w:val="none"/>
          <w:u w:val="single"/>
        </w:rPr>
        <w:t>文件的响应文件按无效处理，</w:t>
      </w:r>
      <w:r>
        <w:rPr>
          <w:color w:val="auto"/>
          <w:kern w:val="0"/>
          <w:szCs w:val="21"/>
          <w:highlight w:val="none"/>
          <w:u w:val="single"/>
        </w:rPr>
        <w:t>磋商</w:t>
      </w:r>
      <w:r>
        <w:rPr>
          <w:color w:val="auto"/>
          <w:szCs w:val="21"/>
          <w:highlight w:val="none"/>
          <w:u w:val="single"/>
        </w:rPr>
        <w:t>小组应当告知有关</w:t>
      </w:r>
      <w:r>
        <w:rPr>
          <w:rFonts w:hint="eastAsia"/>
          <w:color w:val="auto"/>
          <w:szCs w:val="21"/>
          <w:highlight w:val="none"/>
          <w:u w:val="single"/>
        </w:rPr>
        <w:t>竞标人</w:t>
      </w:r>
      <w:r>
        <w:rPr>
          <w:color w:val="auto"/>
          <w:szCs w:val="21"/>
          <w:highlight w:val="none"/>
          <w:u w:val="single"/>
        </w:rPr>
        <w:t>。</w:t>
      </w:r>
    </w:p>
    <w:p w14:paraId="7B68208E">
      <w:pPr>
        <w:adjustRightInd w:val="0"/>
        <w:snapToGrid w:val="0"/>
        <w:spacing w:line="380" w:lineRule="exact"/>
        <w:ind w:firstLine="420" w:firstLineChars="200"/>
        <w:rPr>
          <w:color w:val="auto"/>
          <w:szCs w:val="21"/>
          <w:highlight w:val="none"/>
        </w:rPr>
      </w:pPr>
      <w:r>
        <w:rPr>
          <w:color w:val="auto"/>
          <w:szCs w:val="21"/>
          <w:highlight w:val="none"/>
        </w:rPr>
        <w:t>11.2</w:t>
      </w:r>
      <w:r>
        <w:rPr>
          <w:color w:val="auto"/>
          <w:kern w:val="0"/>
          <w:szCs w:val="21"/>
          <w:highlight w:val="none"/>
        </w:rPr>
        <w:t>磋商</w:t>
      </w:r>
    </w:p>
    <w:p w14:paraId="04BC3EB1">
      <w:pPr>
        <w:adjustRightInd w:val="0"/>
        <w:snapToGrid w:val="0"/>
        <w:spacing w:line="380" w:lineRule="exact"/>
        <w:ind w:firstLine="420" w:firstLineChars="200"/>
        <w:rPr>
          <w:color w:val="auto"/>
          <w:spacing w:val="-4"/>
          <w:szCs w:val="21"/>
          <w:highlight w:val="none"/>
        </w:rPr>
      </w:pPr>
      <w:r>
        <w:rPr>
          <w:color w:val="auto"/>
          <w:kern w:val="0"/>
          <w:szCs w:val="21"/>
          <w:highlight w:val="none"/>
        </w:rPr>
        <w:t>磋商</w:t>
      </w:r>
      <w:r>
        <w:rPr>
          <w:bCs/>
          <w:color w:val="auto"/>
          <w:szCs w:val="21"/>
          <w:highlight w:val="none"/>
        </w:rPr>
        <w:t>时间及地点：</w:t>
      </w:r>
      <w:r>
        <w:rPr>
          <w:color w:val="auto"/>
          <w:szCs w:val="21"/>
          <w:highlight w:val="none"/>
        </w:rPr>
        <w:t>详见</w:t>
      </w:r>
      <w:r>
        <w:rPr>
          <w:color w:val="auto"/>
          <w:spacing w:val="-4"/>
          <w:szCs w:val="21"/>
          <w:highlight w:val="none"/>
        </w:rPr>
        <w:t>本须知前附表第7项规定。</w:t>
      </w:r>
    </w:p>
    <w:p w14:paraId="4656B6DF">
      <w:pPr>
        <w:widowControl/>
        <w:shd w:val="clear" w:color="auto" w:fill="FFFFFF"/>
        <w:adjustRightInd w:val="0"/>
        <w:snapToGrid w:val="0"/>
        <w:spacing w:line="380" w:lineRule="exact"/>
        <w:ind w:firstLine="420" w:firstLineChars="200"/>
        <w:jc w:val="left"/>
        <w:rPr>
          <w:color w:val="auto"/>
          <w:kern w:val="0"/>
          <w:szCs w:val="21"/>
          <w:highlight w:val="none"/>
        </w:rPr>
      </w:pPr>
      <w:r>
        <w:rPr>
          <w:color w:val="auto"/>
          <w:kern w:val="0"/>
          <w:szCs w:val="21"/>
          <w:highlight w:val="none"/>
        </w:rPr>
        <w:t>（1）磋商小组所有成员应当集中与单一</w:t>
      </w:r>
      <w:r>
        <w:rPr>
          <w:rFonts w:hint="eastAsia"/>
          <w:color w:val="auto"/>
          <w:kern w:val="0"/>
          <w:szCs w:val="21"/>
          <w:highlight w:val="none"/>
        </w:rPr>
        <w:t>竞标人</w:t>
      </w:r>
      <w:r>
        <w:rPr>
          <w:color w:val="auto"/>
          <w:kern w:val="0"/>
          <w:szCs w:val="21"/>
          <w:highlight w:val="none"/>
        </w:rPr>
        <w:t>分别进行磋商，并给予所有参加磋商的</w:t>
      </w:r>
      <w:r>
        <w:rPr>
          <w:rFonts w:hint="eastAsia"/>
          <w:color w:val="auto"/>
          <w:kern w:val="0"/>
          <w:szCs w:val="21"/>
          <w:highlight w:val="none"/>
        </w:rPr>
        <w:t>竞标人</w:t>
      </w:r>
      <w:r>
        <w:rPr>
          <w:color w:val="auto"/>
          <w:kern w:val="0"/>
          <w:szCs w:val="21"/>
          <w:highlight w:val="none"/>
        </w:rPr>
        <w:t>平等的磋商机会。</w:t>
      </w:r>
    </w:p>
    <w:p w14:paraId="7D81EE2F">
      <w:pPr>
        <w:widowControl/>
        <w:tabs>
          <w:tab w:val="left" w:pos="540"/>
        </w:tabs>
        <w:adjustRightInd w:val="0"/>
        <w:snapToGrid w:val="0"/>
        <w:spacing w:line="380" w:lineRule="exact"/>
        <w:ind w:firstLine="420" w:firstLineChars="200"/>
        <w:jc w:val="left"/>
        <w:rPr>
          <w:color w:val="auto"/>
          <w:szCs w:val="21"/>
          <w:highlight w:val="none"/>
        </w:rPr>
      </w:pPr>
      <w:r>
        <w:rPr>
          <w:color w:val="auto"/>
          <w:szCs w:val="21"/>
          <w:highlight w:val="none"/>
        </w:rPr>
        <w:t>（2）</w:t>
      </w:r>
      <w:r>
        <w:rPr>
          <w:color w:val="auto"/>
          <w:kern w:val="0"/>
          <w:szCs w:val="21"/>
          <w:highlight w:val="none"/>
        </w:rPr>
        <w:t>磋商</w:t>
      </w:r>
      <w:r>
        <w:rPr>
          <w:color w:val="auto"/>
          <w:szCs w:val="21"/>
          <w:highlight w:val="none"/>
        </w:rPr>
        <w:t>小组根据与</w:t>
      </w:r>
      <w:r>
        <w:rPr>
          <w:rFonts w:hint="eastAsia"/>
          <w:color w:val="auto"/>
          <w:szCs w:val="21"/>
          <w:highlight w:val="none"/>
        </w:rPr>
        <w:t>竞标人</w:t>
      </w:r>
      <w:r>
        <w:rPr>
          <w:color w:val="auto"/>
          <w:kern w:val="0"/>
          <w:szCs w:val="21"/>
          <w:highlight w:val="none"/>
        </w:rPr>
        <w:t>磋商</w:t>
      </w:r>
      <w:r>
        <w:rPr>
          <w:color w:val="auto"/>
          <w:szCs w:val="21"/>
          <w:highlight w:val="none"/>
        </w:rPr>
        <w:t>情况</w:t>
      </w:r>
      <w:r>
        <w:rPr>
          <w:rFonts w:hint="eastAsia"/>
          <w:color w:val="auto"/>
          <w:szCs w:val="21"/>
          <w:highlight w:val="none"/>
          <w:lang w:val="en-US" w:eastAsia="zh-CN"/>
        </w:rPr>
        <w:t>不可</w:t>
      </w:r>
      <w:r>
        <w:rPr>
          <w:color w:val="auto"/>
          <w:szCs w:val="21"/>
          <w:highlight w:val="none"/>
        </w:rPr>
        <w:t>质性变动的内容，须经采购人确认。</w:t>
      </w:r>
    </w:p>
    <w:p w14:paraId="2ABD2643">
      <w:pPr>
        <w:widowControl/>
        <w:tabs>
          <w:tab w:val="left" w:pos="540"/>
        </w:tabs>
        <w:adjustRightInd w:val="0"/>
        <w:snapToGrid w:val="0"/>
        <w:spacing w:line="380" w:lineRule="exact"/>
        <w:ind w:firstLine="420" w:firstLineChars="200"/>
        <w:jc w:val="left"/>
        <w:rPr>
          <w:color w:val="auto"/>
          <w:szCs w:val="21"/>
          <w:highlight w:val="none"/>
        </w:rPr>
      </w:pPr>
      <w:r>
        <w:rPr>
          <w:color w:val="auto"/>
          <w:kern w:val="0"/>
          <w:szCs w:val="21"/>
          <w:highlight w:val="none"/>
        </w:rPr>
        <w:t>（4）磋商</w:t>
      </w:r>
      <w:r>
        <w:rPr>
          <w:color w:val="auto"/>
          <w:szCs w:val="21"/>
          <w:highlight w:val="none"/>
        </w:rPr>
        <w:t>评审在严格保密的情况下进行，</w:t>
      </w:r>
      <w:r>
        <w:rPr>
          <w:color w:val="auto"/>
          <w:kern w:val="0"/>
          <w:szCs w:val="21"/>
          <w:highlight w:val="none"/>
        </w:rPr>
        <w:t>磋商</w:t>
      </w:r>
      <w:r>
        <w:rPr>
          <w:color w:val="auto"/>
          <w:szCs w:val="21"/>
          <w:highlight w:val="none"/>
        </w:rPr>
        <w:t>的任何一方不得透露与</w:t>
      </w:r>
      <w:r>
        <w:rPr>
          <w:color w:val="auto"/>
          <w:kern w:val="0"/>
          <w:szCs w:val="21"/>
          <w:highlight w:val="none"/>
        </w:rPr>
        <w:t>磋商</w:t>
      </w:r>
      <w:r>
        <w:rPr>
          <w:color w:val="auto"/>
          <w:szCs w:val="21"/>
          <w:highlight w:val="none"/>
        </w:rPr>
        <w:t>有关的其他</w:t>
      </w:r>
      <w:r>
        <w:rPr>
          <w:rFonts w:hint="eastAsia"/>
          <w:color w:val="auto"/>
          <w:szCs w:val="21"/>
          <w:highlight w:val="none"/>
        </w:rPr>
        <w:t>竞标人</w:t>
      </w:r>
      <w:r>
        <w:rPr>
          <w:color w:val="auto"/>
          <w:szCs w:val="21"/>
          <w:highlight w:val="none"/>
        </w:rPr>
        <w:t>的技术资料、价格和其他信息。</w:t>
      </w:r>
      <w:r>
        <w:rPr>
          <w:rFonts w:hint="eastAsia"/>
          <w:color w:val="auto"/>
          <w:szCs w:val="21"/>
          <w:highlight w:val="none"/>
        </w:rPr>
        <w:t>采购人</w:t>
      </w:r>
      <w:r>
        <w:rPr>
          <w:color w:val="auto"/>
          <w:szCs w:val="21"/>
          <w:highlight w:val="none"/>
        </w:rPr>
        <w:t>对</w:t>
      </w:r>
      <w:r>
        <w:rPr>
          <w:color w:val="auto"/>
          <w:kern w:val="0"/>
          <w:szCs w:val="21"/>
          <w:highlight w:val="none"/>
        </w:rPr>
        <w:t>磋商</w:t>
      </w:r>
      <w:r>
        <w:rPr>
          <w:color w:val="auto"/>
          <w:szCs w:val="21"/>
          <w:highlight w:val="none"/>
        </w:rPr>
        <w:t>过程和重要</w:t>
      </w:r>
      <w:r>
        <w:rPr>
          <w:color w:val="auto"/>
          <w:kern w:val="0"/>
          <w:szCs w:val="21"/>
          <w:highlight w:val="none"/>
        </w:rPr>
        <w:t>磋商</w:t>
      </w:r>
      <w:r>
        <w:rPr>
          <w:color w:val="auto"/>
          <w:szCs w:val="21"/>
          <w:highlight w:val="none"/>
        </w:rPr>
        <w:t>内容进行记录，</w:t>
      </w:r>
      <w:r>
        <w:rPr>
          <w:color w:val="auto"/>
          <w:kern w:val="0"/>
          <w:szCs w:val="21"/>
          <w:highlight w:val="none"/>
        </w:rPr>
        <w:t>磋商</w:t>
      </w:r>
      <w:r>
        <w:rPr>
          <w:color w:val="auto"/>
          <w:szCs w:val="21"/>
          <w:highlight w:val="none"/>
        </w:rPr>
        <w:t>双方在记录上签字确认。</w:t>
      </w:r>
    </w:p>
    <w:p w14:paraId="508A303D">
      <w:pPr>
        <w:widowControl/>
        <w:tabs>
          <w:tab w:val="left" w:pos="540"/>
        </w:tabs>
        <w:adjustRightInd w:val="0"/>
        <w:snapToGrid w:val="0"/>
        <w:spacing w:line="380" w:lineRule="exact"/>
        <w:ind w:firstLine="420" w:firstLineChars="200"/>
        <w:jc w:val="left"/>
        <w:rPr>
          <w:color w:val="auto"/>
          <w:szCs w:val="21"/>
          <w:highlight w:val="none"/>
        </w:rPr>
      </w:pPr>
      <w:r>
        <w:rPr>
          <w:color w:val="auto"/>
          <w:szCs w:val="21"/>
          <w:highlight w:val="none"/>
        </w:rPr>
        <w:t>11.3最后报价</w:t>
      </w:r>
    </w:p>
    <w:p w14:paraId="0D50C3FF">
      <w:pPr>
        <w:spacing w:line="360" w:lineRule="exact"/>
        <w:ind w:firstLine="420" w:firstLineChars="200"/>
        <w:rPr>
          <w:color w:val="auto"/>
          <w:szCs w:val="21"/>
          <w:highlight w:val="none"/>
        </w:rPr>
      </w:pPr>
      <w:r>
        <w:rPr>
          <w:color w:val="auto"/>
          <w:szCs w:val="21"/>
          <w:highlight w:val="none"/>
        </w:rPr>
        <w:t>11.3.1</w:t>
      </w:r>
      <w:r>
        <w:rPr>
          <w:color w:val="auto"/>
          <w:kern w:val="0"/>
          <w:szCs w:val="21"/>
          <w:highlight w:val="none"/>
        </w:rPr>
        <w:t>磋商</w:t>
      </w:r>
      <w:r>
        <w:rPr>
          <w:color w:val="auto"/>
          <w:szCs w:val="21"/>
          <w:highlight w:val="none"/>
        </w:rPr>
        <w:t>小组只要求商务评审和技术（服务）评审合格的</w:t>
      </w:r>
      <w:r>
        <w:rPr>
          <w:color w:val="auto"/>
          <w:kern w:val="0"/>
          <w:szCs w:val="21"/>
          <w:highlight w:val="none"/>
        </w:rPr>
        <w:t>磋商</w:t>
      </w:r>
      <w:r>
        <w:rPr>
          <w:rFonts w:hint="eastAsia"/>
          <w:color w:val="auto"/>
          <w:szCs w:val="21"/>
          <w:highlight w:val="none"/>
        </w:rPr>
        <w:t>竞标人</w:t>
      </w:r>
      <w:r>
        <w:rPr>
          <w:color w:val="auto"/>
          <w:szCs w:val="21"/>
          <w:highlight w:val="none"/>
        </w:rPr>
        <w:t>在规定的时间内进行最后报价。</w:t>
      </w:r>
      <w:r>
        <w:rPr>
          <w:color w:val="auto"/>
          <w:kern w:val="0"/>
          <w:szCs w:val="21"/>
          <w:highlight w:val="none"/>
        </w:rPr>
        <w:t>磋商</w:t>
      </w:r>
      <w:r>
        <w:rPr>
          <w:color w:val="auto"/>
          <w:szCs w:val="21"/>
          <w:highlight w:val="none"/>
        </w:rPr>
        <w:t>小组按最后报价从低到高排序，推荐成交候选人顺序，形成</w:t>
      </w:r>
      <w:r>
        <w:rPr>
          <w:color w:val="auto"/>
          <w:kern w:val="0"/>
          <w:szCs w:val="21"/>
          <w:highlight w:val="none"/>
        </w:rPr>
        <w:t>磋商</w:t>
      </w:r>
      <w:r>
        <w:rPr>
          <w:color w:val="auto"/>
          <w:szCs w:val="21"/>
          <w:highlight w:val="none"/>
        </w:rPr>
        <w:t>报告。原则上参加采购的</w:t>
      </w:r>
      <w:r>
        <w:rPr>
          <w:rFonts w:hint="eastAsia"/>
          <w:color w:val="auto"/>
          <w:szCs w:val="21"/>
          <w:highlight w:val="none"/>
        </w:rPr>
        <w:t>竞标人</w:t>
      </w:r>
      <w:r>
        <w:rPr>
          <w:color w:val="auto"/>
          <w:szCs w:val="21"/>
          <w:highlight w:val="none"/>
        </w:rPr>
        <w:t>不得少于3家。</w:t>
      </w:r>
    </w:p>
    <w:p w14:paraId="4FFBFDEE">
      <w:pPr>
        <w:spacing w:line="360" w:lineRule="exact"/>
        <w:ind w:firstLine="420" w:firstLineChars="200"/>
        <w:rPr>
          <w:color w:val="auto"/>
          <w:szCs w:val="21"/>
          <w:highlight w:val="none"/>
        </w:rPr>
      </w:pPr>
      <w:r>
        <w:rPr>
          <w:color w:val="auto"/>
          <w:szCs w:val="21"/>
          <w:highlight w:val="none"/>
        </w:rPr>
        <w:t>11.3.2</w:t>
      </w:r>
      <w:r>
        <w:rPr>
          <w:color w:val="auto"/>
          <w:kern w:val="0"/>
          <w:szCs w:val="21"/>
          <w:highlight w:val="none"/>
        </w:rPr>
        <w:t>磋商</w:t>
      </w:r>
      <w:r>
        <w:rPr>
          <w:color w:val="auto"/>
          <w:szCs w:val="21"/>
          <w:highlight w:val="none"/>
        </w:rPr>
        <w:t>采购文件不能详细列明采购标的的技术、服务要求，需经</w:t>
      </w:r>
      <w:r>
        <w:rPr>
          <w:color w:val="auto"/>
          <w:kern w:val="0"/>
          <w:szCs w:val="21"/>
          <w:highlight w:val="none"/>
        </w:rPr>
        <w:t>磋商</w:t>
      </w:r>
      <w:r>
        <w:rPr>
          <w:color w:val="auto"/>
          <w:szCs w:val="21"/>
          <w:highlight w:val="none"/>
        </w:rPr>
        <w:t>由</w:t>
      </w:r>
      <w:r>
        <w:rPr>
          <w:rFonts w:hint="eastAsia"/>
          <w:color w:val="auto"/>
          <w:spacing w:val="-4"/>
          <w:szCs w:val="21"/>
          <w:highlight w:val="none"/>
        </w:rPr>
        <w:t>磋商</w:t>
      </w:r>
      <w:r>
        <w:rPr>
          <w:rFonts w:hint="eastAsia"/>
          <w:color w:val="auto"/>
          <w:szCs w:val="21"/>
          <w:highlight w:val="none"/>
        </w:rPr>
        <w:t>竞标人</w:t>
      </w:r>
      <w:r>
        <w:rPr>
          <w:color w:val="auto"/>
          <w:szCs w:val="21"/>
          <w:highlight w:val="none"/>
        </w:rPr>
        <w:t>提供最终解决方案的，</w:t>
      </w:r>
      <w:r>
        <w:rPr>
          <w:color w:val="auto"/>
          <w:kern w:val="0"/>
          <w:szCs w:val="21"/>
          <w:highlight w:val="none"/>
        </w:rPr>
        <w:t>磋商</w:t>
      </w:r>
      <w:r>
        <w:rPr>
          <w:color w:val="auto"/>
          <w:szCs w:val="21"/>
          <w:highlight w:val="none"/>
        </w:rPr>
        <w:t>结束后，</w:t>
      </w:r>
      <w:r>
        <w:rPr>
          <w:color w:val="auto"/>
          <w:kern w:val="0"/>
          <w:szCs w:val="21"/>
          <w:highlight w:val="none"/>
        </w:rPr>
        <w:t>磋商</w:t>
      </w:r>
      <w:r>
        <w:rPr>
          <w:color w:val="auto"/>
          <w:szCs w:val="21"/>
          <w:highlight w:val="none"/>
        </w:rPr>
        <w:t>小组应当按照少数服从多数的原则投票推荐至少3家以上</w:t>
      </w:r>
      <w:r>
        <w:rPr>
          <w:rFonts w:hint="eastAsia"/>
          <w:color w:val="auto"/>
          <w:spacing w:val="-4"/>
          <w:szCs w:val="21"/>
          <w:highlight w:val="none"/>
        </w:rPr>
        <w:t>磋商</w:t>
      </w:r>
      <w:r>
        <w:rPr>
          <w:rFonts w:hint="eastAsia"/>
          <w:color w:val="auto"/>
          <w:szCs w:val="21"/>
          <w:highlight w:val="none"/>
        </w:rPr>
        <w:t>竞标人</w:t>
      </w:r>
      <w:r>
        <w:rPr>
          <w:color w:val="auto"/>
          <w:szCs w:val="21"/>
          <w:highlight w:val="none"/>
        </w:rPr>
        <w:t>的解决方案，并要求其在规定时间内提交最后报价。</w:t>
      </w:r>
    </w:p>
    <w:p w14:paraId="36806E29">
      <w:pPr>
        <w:spacing w:line="360" w:lineRule="exact"/>
        <w:ind w:firstLine="420" w:firstLineChars="200"/>
        <w:rPr>
          <w:color w:val="auto"/>
          <w:szCs w:val="21"/>
          <w:highlight w:val="none"/>
        </w:rPr>
      </w:pPr>
      <w:r>
        <w:rPr>
          <w:color w:val="auto"/>
          <w:szCs w:val="21"/>
          <w:highlight w:val="none"/>
        </w:rPr>
        <w:t>11.3.3最后报价是</w:t>
      </w:r>
      <w:r>
        <w:rPr>
          <w:rFonts w:hint="eastAsia"/>
          <w:color w:val="auto"/>
          <w:spacing w:val="-4"/>
          <w:szCs w:val="21"/>
          <w:highlight w:val="none"/>
        </w:rPr>
        <w:t>磋商</w:t>
      </w:r>
      <w:r>
        <w:rPr>
          <w:rFonts w:hint="eastAsia"/>
          <w:color w:val="auto"/>
          <w:szCs w:val="21"/>
          <w:highlight w:val="none"/>
        </w:rPr>
        <w:t>竞标人</w:t>
      </w:r>
      <w:r>
        <w:rPr>
          <w:color w:val="auto"/>
          <w:kern w:val="0"/>
          <w:szCs w:val="21"/>
          <w:highlight w:val="none"/>
        </w:rPr>
        <w:t>磋商</w:t>
      </w:r>
      <w:r>
        <w:rPr>
          <w:color w:val="auto"/>
          <w:szCs w:val="21"/>
          <w:highlight w:val="none"/>
        </w:rPr>
        <w:t>响应文件的有效组成部分。</w:t>
      </w:r>
    </w:p>
    <w:p w14:paraId="6636EB70">
      <w:pPr>
        <w:widowControl/>
        <w:tabs>
          <w:tab w:val="left" w:pos="540"/>
        </w:tabs>
        <w:spacing w:line="360" w:lineRule="exact"/>
        <w:ind w:firstLine="420" w:firstLineChars="200"/>
        <w:jc w:val="left"/>
        <w:rPr>
          <w:b/>
          <w:bCs/>
          <w:color w:val="auto"/>
          <w:highlight w:val="none"/>
        </w:rPr>
      </w:pPr>
      <w:r>
        <w:rPr>
          <w:color w:val="auto"/>
          <w:szCs w:val="21"/>
          <w:highlight w:val="none"/>
        </w:rPr>
        <w:t>11.4</w:t>
      </w:r>
      <w:r>
        <w:rPr>
          <w:b/>
          <w:bCs/>
          <w:color w:val="auto"/>
          <w:highlight w:val="none"/>
        </w:rPr>
        <w:t>在评标过程中出现法律法规和磋商采购文件均没有明确规定的情形时，由磋商小组现场协商解决，协商不一致的，由全体磋商小组投票表决，以得票率二分之一以上</w:t>
      </w:r>
      <w:r>
        <w:rPr>
          <w:rFonts w:hint="eastAsia"/>
          <w:b/>
          <w:bCs/>
          <w:color w:val="auto"/>
          <w:highlight w:val="none"/>
        </w:rPr>
        <w:t>磋商小组成员</w:t>
      </w:r>
      <w:r>
        <w:rPr>
          <w:b/>
          <w:bCs/>
          <w:color w:val="auto"/>
          <w:highlight w:val="none"/>
        </w:rPr>
        <w:t>的意见为准。</w:t>
      </w:r>
    </w:p>
    <w:p w14:paraId="4741A3F2">
      <w:pPr>
        <w:widowControl/>
        <w:tabs>
          <w:tab w:val="left" w:pos="540"/>
        </w:tabs>
        <w:spacing w:line="360" w:lineRule="exact"/>
        <w:ind w:firstLine="420" w:firstLineChars="200"/>
        <w:jc w:val="left"/>
        <w:rPr>
          <w:color w:val="auto"/>
          <w:szCs w:val="21"/>
          <w:highlight w:val="none"/>
        </w:rPr>
      </w:pPr>
      <w:r>
        <w:rPr>
          <w:bCs/>
          <w:color w:val="auto"/>
          <w:highlight w:val="none"/>
        </w:rPr>
        <w:t>11.5</w:t>
      </w:r>
      <w:r>
        <w:rPr>
          <w:color w:val="auto"/>
          <w:szCs w:val="21"/>
          <w:highlight w:val="none"/>
        </w:rPr>
        <w:t>特别说明：</w:t>
      </w:r>
    </w:p>
    <w:p w14:paraId="29053FEC">
      <w:pPr>
        <w:widowControl/>
        <w:tabs>
          <w:tab w:val="left" w:pos="540"/>
        </w:tabs>
        <w:spacing w:line="360" w:lineRule="exact"/>
        <w:ind w:firstLine="420" w:firstLineChars="200"/>
        <w:jc w:val="left"/>
        <w:rPr>
          <w:color w:val="auto"/>
          <w:szCs w:val="21"/>
          <w:highlight w:val="none"/>
        </w:rPr>
      </w:pPr>
      <w:r>
        <w:rPr>
          <w:color w:val="auto"/>
          <w:szCs w:val="21"/>
          <w:highlight w:val="none"/>
        </w:rPr>
        <w:t>（1）出现下列情形之一的；当报价相同时，评标价相同时，依次按技术指标高优先、质量保证期长优先、处理问题响应时间短优先的顺序排列,评标价相同且前述指标均相同时，由</w:t>
      </w:r>
      <w:r>
        <w:rPr>
          <w:color w:val="auto"/>
          <w:kern w:val="0"/>
          <w:szCs w:val="21"/>
          <w:highlight w:val="none"/>
        </w:rPr>
        <w:t>磋商</w:t>
      </w:r>
      <w:r>
        <w:rPr>
          <w:color w:val="auto"/>
          <w:szCs w:val="21"/>
          <w:highlight w:val="none"/>
        </w:rPr>
        <w:t>小组各成员对评标价相同的</w:t>
      </w:r>
      <w:r>
        <w:rPr>
          <w:rFonts w:hint="eastAsia"/>
          <w:color w:val="auto"/>
          <w:szCs w:val="21"/>
          <w:highlight w:val="none"/>
        </w:rPr>
        <w:t>竞标人</w:t>
      </w:r>
      <w:r>
        <w:rPr>
          <w:color w:val="auto"/>
          <w:szCs w:val="21"/>
          <w:highlight w:val="none"/>
        </w:rPr>
        <w:t>当场投票表决，得票多者优先；按前述程序仍无法确定</w:t>
      </w:r>
      <w:r>
        <w:rPr>
          <w:rFonts w:hint="eastAsia"/>
          <w:color w:val="auto"/>
          <w:szCs w:val="21"/>
          <w:highlight w:val="none"/>
        </w:rPr>
        <w:t>竞标人</w:t>
      </w:r>
      <w:r>
        <w:rPr>
          <w:color w:val="auto"/>
          <w:szCs w:val="21"/>
          <w:highlight w:val="none"/>
        </w:rPr>
        <w:t>排名顺序的，由评审委员会抽签决定。多家</w:t>
      </w:r>
      <w:r>
        <w:rPr>
          <w:rFonts w:hint="eastAsia"/>
          <w:color w:val="auto"/>
          <w:szCs w:val="21"/>
          <w:highlight w:val="none"/>
        </w:rPr>
        <w:t>竞标人</w:t>
      </w:r>
      <w:r>
        <w:rPr>
          <w:color w:val="auto"/>
          <w:szCs w:val="21"/>
          <w:highlight w:val="none"/>
        </w:rPr>
        <w:t>参加同一项目或同一分标的竞标时，如其中两家或两家以上</w:t>
      </w:r>
      <w:r>
        <w:rPr>
          <w:rFonts w:hint="eastAsia"/>
          <w:color w:val="auto"/>
          <w:szCs w:val="21"/>
          <w:highlight w:val="none"/>
        </w:rPr>
        <w:t>竞标人</w:t>
      </w:r>
      <w:r>
        <w:rPr>
          <w:color w:val="auto"/>
          <w:szCs w:val="21"/>
          <w:highlight w:val="none"/>
        </w:rPr>
        <w:t>的法定代表人为同一人或相互之间存在投资关系且达到控股的，应当按一个</w:t>
      </w:r>
      <w:r>
        <w:rPr>
          <w:rFonts w:hint="eastAsia"/>
          <w:color w:val="auto"/>
          <w:szCs w:val="21"/>
          <w:highlight w:val="none"/>
        </w:rPr>
        <w:t>竞标人</w:t>
      </w:r>
      <w:r>
        <w:rPr>
          <w:color w:val="auto"/>
          <w:szCs w:val="21"/>
          <w:highlight w:val="none"/>
        </w:rPr>
        <w:t>认定。</w:t>
      </w:r>
    </w:p>
    <w:p w14:paraId="44400EEE">
      <w:pPr>
        <w:widowControl/>
        <w:spacing w:line="360" w:lineRule="exact"/>
        <w:ind w:firstLine="315" w:firstLineChars="150"/>
        <w:jc w:val="left"/>
        <w:rPr>
          <w:color w:val="auto"/>
          <w:szCs w:val="21"/>
          <w:highlight w:val="none"/>
        </w:rPr>
      </w:pPr>
      <w:r>
        <w:rPr>
          <w:color w:val="auto"/>
          <w:szCs w:val="21"/>
          <w:highlight w:val="none"/>
        </w:rPr>
        <w:t>（2）</w:t>
      </w:r>
      <w:r>
        <w:rPr>
          <w:rFonts w:hint="eastAsia"/>
          <w:color w:val="auto"/>
          <w:szCs w:val="21"/>
          <w:highlight w:val="none"/>
        </w:rPr>
        <w:t>竞标人</w:t>
      </w:r>
      <w:r>
        <w:rPr>
          <w:color w:val="auto"/>
          <w:szCs w:val="21"/>
          <w:highlight w:val="none"/>
        </w:rPr>
        <w:t>竞标所使用的资格、信誉、荣誉、业绩与企业认证必须为本法人所拥有。</w:t>
      </w:r>
    </w:p>
    <w:p w14:paraId="59ED85B5">
      <w:pPr>
        <w:widowControl/>
        <w:spacing w:line="360" w:lineRule="exact"/>
        <w:ind w:firstLine="315" w:firstLineChars="150"/>
        <w:jc w:val="left"/>
        <w:rPr>
          <w:color w:val="auto"/>
          <w:szCs w:val="21"/>
          <w:highlight w:val="none"/>
        </w:rPr>
      </w:pPr>
      <w:r>
        <w:rPr>
          <w:color w:val="auto"/>
          <w:szCs w:val="21"/>
          <w:highlight w:val="none"/>
        </w:rPr>
        <w:t>（3）</w:t>
      </w:r>
      <w:r>
        <w:rPr>
          <w:rFonts w:hint="eastAsia"/>
          <w:color w:val="auto"/>
          <w:szCs w:val="21"/>
          <w:highlight w:val="none"/>
        </w:rPr>
        <w:t>竞标人</w:t>
      </w:r>
      <w:r>
        <w:rPr>
          <w:color w:val="auto"/>
          <w:szCs w:val="21"/>
          <w:highlight w:val="none"/>
        </w:rPr>
        <w:t>应仔细阅读</w:t>
      </w:r>
      <w:r>
        <w:rPr>
          <w:color w:val="auto"/>
          <w:kern w:val="0"/>
          <w:szCs w:val="21"/>
          <w:highlight w:val="none"/>
        </w:rPr>
        <w:t>磋商</w:t>
      </w:r>
      <w:r>
        <w:rPr>
          <w:color w:val="auto"/>
          <w:szCs w:val="21"/>
          <w:highlight w:val="none"/>
        </w:rPr>
        <w:t>采购文件的所有内容，按照</w:t>
      </w:r>
      <w:r>
        <w:rPr>
          <w:color w:val="auto"/>
          <w:kern w:val="0"/>
          <w:szCs w:val="21"/>
          <w:highlight w:val="none"/>
        </w:rPr>
        <w:t>磋商</w:t>
      </w:r>
      <w:r>
        <w:rPr>
          <w:color w:val="auto"/>
          <w:szCs w:val="21"/>
          <w:highlight w:val="none"/>
        </w:rPr>
        <w:t>采购文件的要求提交响应文件，并对所提供的全部资料的真实性承担法律责任。</w:t>
      </w:r>
    </w:p>
    <w:p w14:paraId="2D240B3F">
      <w:pPr>
        <w:widowControl/>
        <w:spacing w:line="360" w:lineRule="exact"/>
        <w:ind w:firstLine="315" w:firstLineChars="150"/>
        <w:jc w:val="left"/>
        <w:rPr>
          <w:color w:val="auto"/>
          <w:highlight w:val="none"/>
        </w:rPr>
      </w:pPr>
      <w:r>
        <w:rPr>
          <w:color w:val="auto"/>
          <w:szCs w:val="21"/>
          <w:highlight w:val="none"/>
        </w:rPr>
        <w:t>（4）</w:t>
      </w:r>
      <w:r>
        <w:rPr>
          <w:rFonts w:hint="eastAsia"/>
          <w:color w:val="auto"/>
          <w:szCs w:val="21"/>
          <w:highlight w:val="none"/>
        </w:rPr>
        <w:t>竞标人</w:t>
      </w:r>
      <w:r>
        <w:rPr>
          <w:color w:val="auto"/>
          <w:szCs w:val="21"/>
          <w:highlight w:val="none"/>
        </w:rPr>
        <w:t>在竞标活动中提供任何虚假材料，其竞标无效，并报有关部门查处；中标后发现的，成交</w:t>
      </w:r>
      <w:r>
        <w:rPr>
          <w:rFonts w:hint="eastAsia"/>
          <w:color w:val="auto"/>
          <w:szCs w:val="21"/>
          <w:highlight w:val="none"/>
        </w:rPr>
        <w:t>竞标人</w:t>
      </w:r>
      <w:r>
        <w:rPr>
          <w:color w:val="auto"/>
          <w:szCs w:val="21"/>
          <w:highlight w:val="none"/>
        </w:rPr>
        <w:t>须依照《中华人民共和国消费者权益保护法》规定赔偿采购人，且民事赔偿并不免除违法</w:t>
      </w:r>
      <w:r>
        <w:rPr>
          <w:rFonts w:hint="eastAsia"/>
          <w:color w:val="auto"/>
          <w:szCs w:val="21"/>
          <w:highlight w:val="none"/>
        </w:rPr>
        <w:t>竞标人</w:t>
      </w:r>
      <w:r>
        <w:rPr>
          <w:color w:val="auto"/>
          <w:szCs w:val="21"/>
          <w:highlight w:val="none"/>
        </w:rPr>
        <w:t>的行政与刑事责任。</w:t>
      </w:r>
    </w:p>
    <w:p w14:paraId="025DD0B9">
      <w:pPr>
        <w:spacing w:line="360" w:lineRule="exact"/>
        <w:ind w:firstLine="422" w:firstLineChars="200"/>
        <w:rPr>
          <w:b/>
          <w:color w:val="auto"/>
          <w:szCs w:val="21"/>
          <w:highlight w:val="none"/>
        </w:rPr>
      </w:pPr>
      <w:bookmarkStart w:id="8" w:name="_Toc31657_WPSOffice_Level2"/>
      <w:r>
        <w:rPr>
          <w:b/>
          <w:color w:val="auto"/>
          <w:szCs w:val="21"/>
          <w:highlight w:val="none"/>
        </w:rPr>
        <w:t>六、确定成交供应商办法及结果公告</w:t>
      </w:r>
      <w:bookmarkEnd w:id="8"/>
    </w:p>
    <w:p w14:paraId="70A92BE6">
      <w:pPr>
        <w:spacing w:line="360" w:lineRule="exact"/>
        <w:ind w:firstLine="420" w:firstLineChars="200"/>
        <w:rPr>
          <w:color w:val="auto"/>
          <w:szCs w:val="21"/>
          <w:highlight w:val="none"/>
        </w:rPr>
      </w:pPr>
      <w:r>
        <w:rPr>
          <w:color w:val="auto"/>
          <w:szCs w:val="21"/>
          <w:highlight w:val="none"/>
        </w:rPr>
        <w:t>12.1</w:t>
      </w:r>
      <w:r>
        <w:rPr>
          <w:bCs/>
          <w:color w:val="auto"/>
          <w:highlight w:val="none"/>
        </w:rPr>
        <w:t>磋商小组将按总得分由高到低排列中标候选</w:t>
      </w:r>
      <w:r>
        <w:rPr>
          <w:rFonts w:hint="eastAsia"/>
          <w:bCs/>
          <w:color w:val="auto"/>
          <w:highlight w:val="none"/>
        </w:rPr>
        <w:t>竞标人</w:t>
      </w:r>
      <w:r>
        <w:rPr>
          <w:bCs/>
          <w:color w:val="auto"/>
          <w:highlight w:val="none"/>
        </w:rPr>
        <w:t>顺序（总得分相同时，依次按投标报价低优先、</w:t>
      </w:r>
      <w:r>
        <w:rPr>
          <w:rFonts w:hint="eastAsia"/>
          <w:bCs/>
          <w:color w:val="auto"/>
          <w:highlight w:val="none"/>
          <w:lang w:val="en-US" w:eastAsia="zh-CN"/>
        </w:rPr>
        <w:t>运营策略合理</w:t>
      </w:r>
      <w:r>
        <w:rPr>
          <w:bCs/>
          <w:color w:val="auto"/>
          <w:highlight w:val="none"/>
        </w:rPr>
        <w:t>优先、</w:t>
      </w:r>
      <w:r>
        <w:rPr>
          <w:rFonts w:hint="eastAsia"/>
          <w:bCs/>
          <w:color w:val="auto"/>
          <w:highlight w:val="none"/>
          <w:lang w:val="en-US" w:eastAsia="zh-CN"/>
        </w:rPr>
        <w:t>成功案例质量佳</w:t>
      </w:r>
      <w:r>
        <w:rPr>
          <w:bCs/>
          <w:color w:val="auto"/>
          <w:highlight w:val="none"/>
        </w:rPr>
        <w:t>优先顺序排列），并依照次序确定中标</w:t>
      </w:r>
      <w:r>
        <w:rPr>
          <w:rFonts w:hint="eastAsia"/>
          <w:bCs/>
          <w:color w:val="auto"/>
          <w:highlight w:val="none"/>
        </w:rPr>
        <w:t>竞标人</w:t>
      </w:r>
      <w:r>
        <w:rPr>
          <w:bCs/>
          <w:color w:val="auto"/>
          <w:highlight w:val="none"/>
        </w:rPr>
        <w:t>。</w:t>
      </w:r>
    </w:p>
    <w:p w14:paraId="0DEA1300">
      <w:pPr>
        <w:spacing w:line="360" w:lineRule="exact"/>
        <w:ind w:firstLine="420" w:firstLineChars="200"/>
        <w:rPr>
          <w:color w:val="auto"/>
          <w:highlight w:val="none"/>
        </w:rPr>
      </w:pPr>
      <w:r>
        <w:rPr>
          <w:color w:val="auto"/>
          <w:szCs w:val="21"/>
          <w:highlight w:val="none"/>
        </w:rPr>
        <w:t>12.</w:t>
      </w:r>
      <w:r>
        <w:rPr>
          <w:rFonts w:hint="eastAsia"/>
          <w:color w:val="auto"/>
          <w:szCs w:val="21"/>
          <w:highlight w:val="none"/>
        </w:rPr>
        <w:t>2</w:t>
      </w:r>
      <w:r>
        <w:rPr>
          <w:color w:val="auto"/>
          <w:kern w:val="0"/>
          <w:szCs w:val="21"/>
          <w:highlight w:val="none"/>
        </w:rPr>
        <w:t>采购人应当评标后</w:t>
      </w:r>
      <w:r>
        <w:rPr>
          <w:rFonts w:hint="eastAsia"/>
          <w:color w:val="auto"/>
          <w:kern w:val="0"/>
          <w:szCs w:val="21"/>
          <w:highlight w:val="none"/>
          <w:lang w:val="en-US" w:eastAsia="zh-CN"/>
        </w:rPr>
        <w:t>10</w:t>
      </w:r>
      <w:r>
        <w:rPr>
          <w:color w:val="auto"/>
          <w:kern w:val="0"/>
          <w:szCs w:val="21"/>
          <w:highlight w:val="none"/>
        </w:rPr>
        <w:t>个</w:t>
      </w:r>
      <w:r>
        <w:rPr>
          <w:rFonts w:hint="eastAsia"/>
          <w:color w:val="auto"/>
          <w:kern w:val="0"/>
          <w:szCs w:val="21"/>
          <w:highlight w:val="none"/>
          <w:lang w:val="en-US" w:eastAsia="zh-CN"/>
        </w:rPr>
        <w:t>工作</w:t>
      </w:r>
      <w:r>
        <w:rPr>
          <w:color w:val="auto"/>
          <w:kern w:val="0"/>
          <w:szCs w:val="21"/>
          <w:highlight w:val="none"/>
        </w:rPr>
        <w:t>日内确定成交供应商。</w:t>
      </w:r>
    </w:p>
    <w:p w14:paraId="26F74966">
      <w:pPr>
        <w:numPr>
          <w:ilvl w:val="0"/>
          <w:numId w:val="0"/>
        </w:numPr>
        <w:adjustRightInd w:val="0"/>
        <w:snapToGrid w:val="0"/>
        <w:spacing w:line="380" w:lineRule="exact"/>
        <w:ind w:firstLine="420" w:firstLineChars="200"/>
        <w:rPr>
          <w:rFonts w:ascii="Times New Roman" w:hAnsi="Times New Roman" w:eastAsia="宋体" w:cs="Times New Roman"/>
          <w:b/>
          <w:bCs/>
          <w:color w:val="auto"/>
          <w:kern w:val="2"/>
          <w:szCs w:val="21"/>
          <w:highlight w:val="none"/>
          <w:lang w:val="en-US" w:eastAsia="zh-CN" w:bidi="ar-SA"/>
        </w:rPr>
      </w:pPr>
      <w:r>
        <w:rPr>
          <w:color w:val="auto"/>
          <w:szCs w:val="21"/>
          <w:highlight w:val="none"/>
        </w:rPr>
        <w:t>12.</w:t>
      </w:r>
      <w:r>
        <w:rPr>
          <w:rFonts w:hint="eastAsia"/>
          <w:color w:val="auto"/>
          <w:szCs w:val="21"/>
          <w:highlight w:val="none"/>
        </w:rPr>
        <w:t>3</w:t>
      </w:r>
      <w:r>
        <w:rPr>
          <w:color w:val="auto"/>
          <w:szCs w:val="21"/>
          <w:highlight w:val="none"/>
        </w:rPr>
        <w:t>采购人应当在确定成交供应商后向成交供应商发出成交通知书</w:t>
      </w:r>
      <w:r>
        <w:rPr>
          <w:rFonts w:hint="eastAsia"/>
          <w:color w:val="auto"/>
          <w:szCs w:val="21"/>
          <w:highlight w:val="none"/>
          <w:lang w:eastAsia="zh-CN"/>
        </w:rPr>
        <w:t>，</w:t>
      </w:r>
      <w:r>
        <w:rPr>
          <w:rFonts w:hint="eastAsia"/>
          <w:color w:val="auto"/>
          <w:szCs w:val="21"/>
          <w:highlight w:val="none"/>
          <w:lang w:val="en-US" w:eastAsia="zh-CN"/>
        </w:rPr>
        <w:t>并</w:t>
      </w:r>
      <w:r>
        <w:rPr>
          <w:color w:val="auto"/>
          <w:szCs w:val="21"/>
          <w:highlight w:val="none"/>
        </w:rPr>
        <w:t>在</w:t>
      </w:r>
      <w:r>
        <w:rPr>
          <w:color w:val="auto"/>
          <w:highlight w:val="none"/>
        </w:rPr>
        <w:t>广西国际博览集团有限公司</w:t>
      </w:r>
      <w:r>
        <w:rPr>
          <w:color w:val="auto"/>
          <w:szCs w:val="21"/>
          <w:highlight w:val="none"/>
        </w:rPr>
        <w:t>官网上公告成交结果。</w:t>
      </w:r>
    </w:p>
    <w:p w14:paraId="51F692CF">
      <w:pPr>
        <w:adjustRightInd w:val="0"/>
        <w:snapToGrid w:val="0"/>
        <w:spacing w:line="380" w:lineRule="exact"/>
        <w:ind w:left="420" w:leftChars="200" w:firstLine="105" w:firstLineChars="50"/>
        <w:rPr>
          <w:b/>
          <w:bCs/>
          <w:color w:val="auto"/>
          <w:szCs w:val="21"/>
          <w:highlight w:val="none"/>
        </w:rPr>
      </w:pPr>
      <w:r>
        <w:rPr>
          <w:b/>
          <w:bCs/>
          <w:color w:val="auto"/>
          <w:szCs w:val="21"/>
          <w:highlight w:val="none"/>
        </w:rPr>
        <w:t>七、签订合同</w:t>
      </w:r>
    </w:p>
    <w:p w14:paraId="656DD2EA">
      <w:pPr>
        <w:adjustRightInd w:val="0"/>
        <w:snapToGrid w:val="0"/>
        <w:spacing w:line="380" w:lineRule="exact"/>
        <w:ind w:left="420" w:leftChars="200" w:firstLine="105" w:firstLineChars="50"/>
        <w:rPr>
          <w:color w:val="auto"/>
          <w:szCs w:val="21"/>
          <w:highlight w:val="none"/>
        </w:rPr>
      </w:pPr>
      <w:r>
        <w:rPr>
          <w:color w:val="auto"/>
          <w:szCs w:val="21"/>
          <w:highlight w:val="none"/>
        </w:rPr>
        <w:t>13.1成交供应商在收到成交通知书后，应按成交通知书中规定的时间、地点与采购人签订合同。</w:t>
      </w:r>
    </w:p>
    <w:p w14:paraId="78FB4964">
      <w:pPr>
        <w:pStyle w:val="23"/>
        <w:adjustRightInd w:val="0"/>
        <w:snapToGrid w:val="0"/>
        <w:spacing w:line="380" w:lineRule="exact"/>
        <w:ind w:firstLine="525" w:firstLineChars="250"/>
        <w:rPr>
          <w:rFonts w:ascii="Times New Roman" w:hAnsi="Times New Roman" w:cs="Times New Roman"/>
          <w:color w:val="auto"/>
          <w:highlight w:val="none"/>
        </w:rPr>
      </w:pPr>
      <w:r>
        <w:rPr>
          <w:rFonts w:ascii="Times New Roman" w:hAnsi="Times New Roman" w:cs="Times New Roman"/>
          <w:color w:val="auto"/>
          <w:highlight w:val="none"/>
        </w:rPr>
        <w:t>13.2成交供应商不按成交通知书规定签订合同，采购人可以按本项目确定成交供应商办法确定其他</w:t>
      </w:r>
      <w:r>
        <w:rPr>
          <w:rFonts w:hint="eastAsia" w:ascii="Times New Roman" w:hAnsi="Times New Roman" w:cs="Times New Roman"/>
          <w:color w:val="auto"/>
          <w:highlight w:val="none"/>
        </w:rPr>
        <w:t>竞标人</w:t>
      </w:r>
      <w:r>
        <w:rPr>
          <w:rFonts w:ascii="Times New Roman" w:hAnsi="Times New Roman" w:cs="Times New Roman"/>
          <w:color w:val="auto"/>
          <w:highlight w:val="none"/>
        </w:rPr>
        <w:t>作为成交供应商并签订采购合同，也可以重新开展采购活动。拒绝签订采购合同的成交供应商不得参加对该项目重新开展的采购活动。</w:t>
      </w:r>
    </w:p>
    <w:p w14:paraId="53991479">
      <w:pPr>
        <w:adjustRightInd w:val="0"/>
        <w:snapToGrid w:val="0"/>
        <w:spacing w:line="380" w:lineRule="exact"/>
        <w:ind w:firstLine="525" w:firstLineChars="250"/>
        <w:rPr>
          <w:color w:val="auto"/>
          <w:szCs w:val="21"/>
          <w:highlight w:val="none"/>
        </w:rPr>
      </w:pPr>
      <w:r>
        <w:rPr>
          <w:color w:val="auto"/>
          <w:szCs w:val="21"/>
          <w:highlight w:val="none"/>
        </w:rPr>
        <w:t>13.3成交供应商因不可抗力或者自身原因不能履行采购合同的，采购人可以与成交供应商之后排名第一的成交候选</w:t>
      </w:r>
      <w:r>
        <w:rPr>
          <w:rFonts w:hint="eastAsia"/>
          <w:color w:val="auto"/>
          <w:szCs w:val="21"/>
          <w:highlight w:val="none"/>
        </w:rPr>
        <w:t>竞标人</w:t>
      </w:r>
      <w:r>
        <w:rPr>
          <w:color w:val="auto"/>
          <w:szCs w:val="21"/>
          <w:highlight w:val="none"/>
        </w:rPr>
        <w:t>签订采购合同，以此类推。</w:t>
      </w:r>
    </w:p>
    <w:p w14:paraId="641656BD">
      <w:pPr>
        <w:jc w:val="center"/>
        <w:rPr>
          <w:b/>
          <w:bCs/>
          <w:color w:val="auto"/>
          <w:sz w:val="44"/>
          <w:szCs w:val="44"/>
          <w:highlight w:val="none"/>
        </w:rPr>
      </w:pPr>
    </w:p>
    <w:p w14:paraId="13B5C3F2">
      <w:pPr>
        <w:jc w:val="center"/>
        <w:rPr>
          <w:b/>
          <w:bCs/>
          <w:color w:val="auto"/>
          <w:sz w:val="44"/>
          <w:szCs w:val="44"/>
          <w:highlight w:val="none"/>
        </w:rPr>
      </w:pPr>
    </w:p>
    <w:p w14:paraId="57196A5F">
      <w:pPr>
        <w:jc w:val="center"/>
        <w:rPr>
          <w:b/>
          <w:bCs/>
          <w:color w:val="auto"/>
          <w:sz w:val="44"/>
          <w:szCs w:val="44"/>
          <w:highlight w:val="none"/>
        </w:rPr>
      </w:pPr>
    </w:p>
    <w:p w14:paraId="261E1FBF">
      <w:pPr>
        <w:jc w:val="center"/>
        <w:rPr>
          <w:b/>
          <w:bCs/>
          <w:color w:val="auto"/>
          <w:sz w:val="44"/>
          <w:szCs w:val="44"/>
          <w:highlight w:val="none"/>
        </w:rPr>
      </w:pPr>
    </w:p>
    <w:p w14:paraId="7E36EA19">
      <w:pPr>
        <w:jc w:val="center"/>
        <w:outlineLvl w:val="0"/>
        <w:rPr>
          <w:b/>
          <w:bCs/>
          <w:color w:val="auto"/>
          <w:highlight w:val="none"/>
        </w:rPr>
      </w:pPr>
      <w:r>
        <w:rPr>
          <w:b/>
          <w:bCs/>
          <w:color w:val="auto"/>
          <w:sz w:val="44"/>
          <w:szCs w:val="44"/>
          <w:highlight w:val="none"/>
        </w:rPr>
        <w:br w:type="page"/>
      </w:r>
      <w:bookmarkEnd w:id="6"/>
      <w:bookmarkStart w:id="9" w:name="_Toc8336"/>
      <w:bookmarkStart w:id="10" w:name="_Toc26606"/>
      <w:bookmarkStart w:id="11" w:name="_Toc15790"/>
      <w:bookmarkStart w:id="12" w:name="_Toc8672"/>
      <w:bookmarkStart w:id="13" w:name="_Toc77937044"/>
      <w:r>
        <w:rPr>
          <w:b/>
          <w:bCs/>
          <w:color w:val="auto"/>
          <w:sz w:val="44"/>
          <w:szCs w:val="44"/>
          <w:highlight w:val="none"/>
        </w:rPr>
        <w:t>第三章  采购项目需求</w:t>
      </w:r>
      <w:bookmarkEnd w:id="9"/>
      <w:bookmarkEnd w:id="10"/>
    </w:p>
    <w:p w14:paraId="20734582">
      <w:pPr>
        <w:tabs>
          <w:tab w:val="left" w:pos="180"/>
          <w:tab w:val="left" w:pos="1620"/>
        </w:tabs>
        <w:ind w:firstLine="420" w:firstLineChars="200"/>
        <w:rPr>
          <w:color w:val="auto"/>
          <w:szCs w:val="21"/>
          <w:highlight w:val="none"/>
          <w:u w:val="single"/>
        </w:rPr>
      </w:pPr>
      <w:r>
        <w:rPr>
          <w:rFonts w:hint="eastAsia"/>
          <w:color w:val="auto"/>
          <w:szCs w:val="21"/>
          <w:highlight w:val="none"/>
          <w:lang w:val="en-US" w:eastAsia="zh-CN"/>
        </w:rPr>
        <w:t>一</w:t>
      </w:r>
      <w:r>
        <w:rPr>
          <w:color w:val="auto"/>
          <w:szCs w:val="21"/>
          <w:highlight w:val="none"/>
        </w:rPr>
        <w:t>、采购项目类别：</w:t>
      </w:r>
      <w:r>
        <w:rPr>
          <w:rFonts w:hint="eastAsia"/>
          <w:color w:val="auto"/>
          <w:szCs w:val="21"/>
          <w:highlight w:val="none"/>
          <w:u w:val="single"/>
          <w:lang w:val="en-US" w:eastAsia="zh-CN"/>
        </w:rPr>
        <w:t>服务</w:t>
      </w:r>
      <w:r>
        <w:rPr>
          <w:color w:val="auto"/>
          <w:szCs w:val="21"/>
          <w:highlight w:val="none"/>
          <w:u w:val="single"/>
        </w:rPr>
        <w:t>类</w:t>
      </w:r>
    </w:p>
    <w:p w14:paraId="39896750">
      <w:pPr>
        <w:tabs>
          <w:tab w:val="left" w:pos="180"/>
          <w:tab w:val="left" w:pos="1620"/>
        </w:tabs>
        <w:ind w:firstLine="420" w:firstLineChars="200"/>
        <w:rPr>
          <w:color w:val="auto"/>
          <w:szCs w:val="21"/>
          <w:highlight w:val="none"/>
        </w:rPr>
      </w:pPr>
      <w:r>
        <w:rPr>
          <w:rFonts w:hint="eastAsia"/>
          <w:color w:val="auto"/>
          <w:szCs w:val="21"/>
          <w:highlight w:val="none"/>
          <w:lang w:val="en-US" w:eastAsia="zh-CN"/>
        </w:rPr>
        <w:t>二</w:t>
      </w:r>
      <w:r>
        <w:rPr>
          <w:color w:val="auto"/>
          <w:szCs w:val="21"/>
          <w:highlight w:val="none"/>
        </w:rPr>
        <w:t>、说明：</w:t>
      </w:r>
    </w:p>
    <w:p w14:paraId="364AA566">
      <w:pPr>
        <w:tabs>
          <w:tab w:val="left" w:pos="180"/>
          <w:tab w:val="left" w:pos="1620"/>
        </w:tabs>
        <w:ind w:firstLine="420" w:firstLineChars="200"/>
        <w:rPr>
          <w:color w:val="auto"/>
          <w:highlight w:val="none"/>
        </w:rPr>
      </w:pPr>
      <w:r>
        <w:rPr>
          <w:rFonts w:hint="eastAsia"/>
          <w:color w:val="auto"/>
          <w:highlight w:val="none"/>
        </w:rPr>
        <w:t>1</w:t>
      </w:r>
      <w:r>
        <w:rPr>
          <w:color w:val="auto"/>
          <w:highlight w:val="none"/>
        </w:rPr>
        <w:t>.本项目需求一览表中内容如与第六章“合同条款及格式”相关条款不一致的，以本表为准。</w:t>
      </w:r>
    </w:p>
    <w:p w14:paraId="32A9C714">
      <w:pPr>
        <w:tabs>
          <w:tab w:val="left" w:pos="180"/>
          <w:tab w:val="left" w:pos="1620"/>
        </w:tabs>
        <w:ind w:firstLine="420" w:firstLineChars="200"/>
        <w:rPr>
          <w:color w:val="auto"/>
          <w:highlight w:val="none"/>
        </w:rPr>
      </w:pPr>
      <w:r>
        <w:rPr>
          <w:rFonts w:hint="eastAsia"/>
          <w:color w:val="auto"/>
          <w:highlight w:val="none"/>
        </w:rPr>
        <w:t>2</w:t>
      </w:r>
      <w:r>
        <w:rPr>
          <w:color w:val="auto"/>
          <w:highlight w:val="none"/>
        </w:rPr>
        <w:t>.本表未明确的技术要求和规范，按国家、行业的相关标准执行。</w:t>
      </w:r>
    </w:p>
    <w:p w14:paraId="48BBA48B">
      <w:pPr>
        <w:tabs>
          <w:tab w:val="left" w:pos="180"/>
          <w:tab w:val="left" w:pos="1620"/>
        </w:tabs>
        <w:ind w:firstLine="420" w:firstLineChars="200"/>
        <w:rPr>
          <w:color w:val="auto"/>
          <w:szCs w:val="21"/>
          <w:highlight w:val="none"/>
        </w:rPr>
      </w:pPr>
      <w:r>
        <w:rPr>
          <w:rFonts w:hint="eastAsia"/>
          <w:color w:val="auto"/>
          <w:highlight w:val="none"/>
        </w:rPr>
        <w:t>3</w:t>
      </w:r>
      <w:r>
        <w:rPr>
          <w:color w:val="auto"/>
          <w:highlight w:val="none"/>
        </w:rPr>
        <w:t>.磋商小组认为竞标人的报价明显低于其他通过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p w14:paraId="01D78FAA">
      <w:pPr>
        <w:tabs>
          <w:tab w:val="left" w:pos="180"/>
          <w:tab w:val="left" w:pos="1620"/>
        </w:tabs>
        <w:ind w:firstLine="420" w:firstLineChars="200"/>
        <w:rPr>
          <w:b/>
          <w:bCs/>
          <w:color w:val="auto"/>
          <w:sz w:val="32"/>
          <w:szCs w:val="32"/>
          <w:highlight w:val="none"/>
        </w:rPr>
      </w:pPr>
      <w:r>
        <w:rPr>
          <w:rFonts w:hint="eastAsia"/>
          <w:color w:val="auto"/>
          <w:szCs w:val="21"/>
          <w:highlight w:val="none"/>
          <w:lang w:val="en-US" w:eastAsia="zh-CN"/>
        </w:rPr>
        <w:t>三</w:t>
      </w:r>
      <w:r>
        <w:rPr>
          <w:color w:val="auto"/>
          <w:szCs w:val="21"/>
          <w:highlight w:val="none"/>
        </w:rPr>
        <w:t>、</w:t>
      </w:r>
      <w:r>
        <w:rPr>
          <w:color w:val="auto"/>
          <w:highlight w:val="none"/>
        </w:rPr>
        <w:t>采购项目需求一览表：</w:t>
      </w:r>
    </w:p>
    <w:tbl>
      <w:tblPr>
        <w:tblStyle w:val="41"/>
        <w:tblW w:w="9660" w:type="dxa"/>
        <w:tblInd w:w="-2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470"/>
        <w:gridCol w:w="421"/>
        <w:gridCol w:w="336"/>
        <w:gridCol w:w="6799"/>
      </w:tblGrid>
      <w:tr w14:paraId="2E917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9660" w:type="dxa"/>
            <w:gridSpan w:val="5"/>
            <w:noWrap w:val="0"/>
            <w:vAlign w:val="top"/>
          </w:tcPr>
          <w:p w14:paraId="11BEB348">
            <w:pPr>
              <w:spacing w:before="144" w:line="219" w:lineRule="auto"/>
              <w:ind w:left="119"/>
              <w:rPr>
                <w:color w:val="auto"/>
                <w:szCs w:val="21"/>
                <w:highlight w:val="none"/>
              </w:rPr>
            </w:pPr>
            <w:r>
              <w:rPr>
                <w:color w:val="auto"/>
                <w:spacing w:val="-1"/>
                <w:szCs w:val="21"/>
                <w:highlight w:val="none"/>
              </w:rPr>
              <w:t>一、采购清单</w:t>
            </w:r>
            <w:r>
              <w:rPr>
                <w:color w:val="auto"/>
                <w:szCs w:val="21"/>
                <w:highlight w:val="none"/>
              </w:rPr>
              <w:t>及技术参数</w:t>
            </w:r>
          </w:p>
        </w:tc>
      </w:tr>
      <w:tr w14:paraId="37484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 w:hRule="atLeast"/>
        </w:trPr>
        <w:tc>
          <w:tcPr>
            <w:tcW w:w="634" w:type="dxa"/>
            <w:noWrap w:val="0"/>
            <w:textDirection w:val="tbRlV"/>
            <w:vAlign w:val="top"/>
          </w:tcPr>
          <w:p w14:paraId="5F1EB367">
            <w:pPr>
              <w:spacing w:before="195" w:line="210" w:lineRule="auto"/>
              <w:ind w:left="140"/>
              <w:rPr>
                <w:color w:val="auto"/>
                <w:szCs w:val="21"/>
                <w:highlight w:val="none"/>
              </w:rPr>
            </w:pPr>
            <w:r>
              <w:rPr>
                <w:color w:val="auto"/>
                <w:spacing w:val="28"/>
                <w:szCs w:val="21"/>
                <w:highlight w:val="none"/>
              </w:rPr>
              <w:t>序 号</w:t>
            </w:r>
          </w:p>
        </w:tc>
        <w:tc>
          <w:tcPr>
            <w:tcW w:w="1470" w:type="dxa"/>
            <w:noWrap w:val="0"/>
            <w:vAlign w:val="top"/>
          </w:tcPr>
          <w:p w14:paraId="18F3FD74">
            <w:pPr>
              <w:spacing w:line="270" w:lineRule="auto"/>
              <w:rPr>
                <w:color w:val="auto"/>
                <w:highlight w:val="none"/>
              </w:rPr>
            </w:pPr>
          </w:p>
          <w:p w14:paraId="36925694">
            <w:pPr>
              <w:spacing w:before="69" w:line="220" w:lineRule="auto"/>
              <w:ind w:left="202"/>
              <w:rPr>
                <w:color w:val="auto"/>
                <w:szCs w:val="21"/>
                <w:highlight w:val="none"/>
              </w:rPr>
            </w:pPr>
            <w:r>
              <w:rPr>
                <w:color w:val="auto"/>
                <w:spacing w:val="-2"/>
                <w:szCs w:val="21"/>
                <w:highlight w:val="none"/>
              </w:rPr>
              <w:t>标的名</w:t>
            </w:r>
            <w:r>
              <w:rPr>
                <w:color w:val="auto"/>
                <w:spacing w:val="-1"/>
                <w:szCs w:val="21"/>
                <w:highlight w:val="none"/>
              </w:rPr>
              <w:t>称</w:t>
            </w:r>
          </w:p>
        </w:tc>
        <w:tc>
          <w:tcPr>
            <w:tcW w:w="757" w:type="dxa"/>
            <w:gridSpan w:val="2"/>
            <w:noWrap w:val="0"/>
            <w:vAlign w:val="top"/>
          </w:tcPr>
          <w:p w14:paraId="68AC9570">
            <w:pPr>
              <w:spacing w:before="140" w:line="399" w:lineRule="exact"/>
              <w:ind w:left="115"/>
              <w:rPr>
                <w:color w:val="auto"/>
                <w:szCs w:val="21"/>
                <w:highlight w:val="none"/>
              </w:rPr>
            </w:pPr>
            <w:r>
              <w:rPr>
                <w:color w:val="auto"/>
                <w:spacing w:val="-4"/>
                <w:position w:val="14"/>
                <w:szCs w:val="21"/>
                <w:highlight w:val="none"/>
              </w:rPr>
              <w:t>数</w:t>
            </w:r>
            <w:r>
              <w:rPr>
                <w:color w:val="auto"/>
                <w:spacing w:val="-3"/>
                <w:position w:val="14"/>
                <w:szCs w:val="21"/>
                <w:highlight w:val="none"/>
              </w:rPr>
              <w:t>量及</w:t>
            </w:r>
          </w:p>
          <w:p w14:paraId="5E9628B8">
            <w:pPr>
              <w:spacing w:line="220" w:lineRule="auto"/>
              <w:ind w:left="220"/>
              <w:rPr>
                <w:color w:val="auto"/>
                <w:szCs w:val="21"/>
                <w:highlight w:val="none"/>
              </w:rPr>
            </w:pPr>
            <w:r>
              <w:rPr>
                <w:color w:val="auto"/>
                <w:spacing w:val="-3"/>
                <w:szCs w:val="21"/>
                <w:highlight w:val="none"/>
              </w:rPr>
              <w:t>单</w:t>
            </w:r>
            <w:r>
              <w:rPr>
                <w:color w:val="auto"/>
                <w:spacing w:val="-2"/>
                <w:szCs w:val="21"/>
                <w:highlight w:val="none"/>
              </w:rPr>
              <w:t>位</w:t>
            </w:r>
          </w:p>
        </w:tc>
        <w:tc>
          <w:tcPr>
            <w:tcW w:w="6799" w:type="dxa"/>
            <w:noWrap w:val="0"/>
            <w:vAlign w:val="top"/>
          </w:tcPr>
          <w:p w14:paraId="391BDB88">
            <w:pPr>
              <w:spacing w:line="269" w:lineRule="auto"/>
              <w:rPr>
                <w:color w:val="auto"/>
                <w:highlight w:val="none"/>
              </w:rPr>
            </w:pPr>
          </w:p>
          <w:p w14:paraId="1F0A2591">
            <w:pPr>
              <w:spacing w:before="69" w:line="220" w:lineRule="auto"/>
              <w:ind w:left="2461"/>
              <w:rPr>
                <w:color w:val="auto"/>
                <w:szCs w:val="21"/>
                <w:highlight w:val="none"/>
              </w:rPr>
            </w:pPr>
            <w:r>
              <w:rPr>
                <w:color w:val="auto"/>
                <w:spacing w:val="-1"/>
                <w:szCs w:val="21"/>
                <w:highlight w:val="none"/>
              </w:rPr>
              <w:t>服务内容及技术需求</w:t>
            </w:r>
          </w:p>
        </w:tc>
      </w:tr>
      <w:tr w14:paraId="4BA69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634" w:type="dxa"/>
            <w:noWrap w:val="0"/>
            <w:vAlign w:val="top"/>
          </w:tcPr>
          <w:p w14:paraId="3B24F62B">
            <w:pPr>
              <w:spacing w:line="244" w:lineRule="auto"/>
              <w:jc w:val="center"/>
              <w:rPr>
                <w:color w:val="auto"/>
                <w:highlight w:val="none"/>
              </w:rPr>
            </w:pPr>
          </w:p>
          <w:p w14:paraId="5E505C47">
            <w:pPr>
              <w:spacing w:line="244" w:lineRule="auto"/>
              <w:jc w:val="center"/>
              <w:rPr>
                <w:color w:val="auto"/>
                <w:highlight w:val="none"/>
              </w:rPr>
            </w:pPr>
          </w:p>
          <w:p w14:paraId="2810740B">
            <w:pPr>
              <w:spacing w:line="244" w:lineRule="auto"/>
              <w:jc w:val="center"/>
              <w:rPr>
                <w:color w:val="auto"/>
                <w:highlight w:val="none"/>
              </w:rPr>
            </w:pPr>
          </w:p>
          <w:p w14:paraId="41AD81F2">
            <w:pPr>
              <w:spacing w:line="244" w:lineRule="auto"/>
              <w:jc w:val="center"/>
              <w:rPr>
                <w:color w:val="auto"/>
                <w:highlight w:val="none"/>
              </w:rPr>
            </w:pPr>
          </w:p>
          <w:p w14:paraId="2F53835F">
            <w:pPr>
              <w:spacing w:before="68" w:line="185" w:lineRule="auto"/>
              <w:jc w:val="both"/>
              <w:rPr>
                <w:color w:val="auto"/>
                <w:szCs w:val="21"/>
                <w:highlight w:val="none"/>
              </w:rPr>
            </w:pPr>
          </w:p>
          <w:p w14:paraId="64CD2090">
            <w:pPr>
              <w:spacing w:before="68" w:line="185" w:lineRule="auto"/>
              <w:ind w:firstLine="210" w:firstLineChars="100"/>
              <w:jc w:val="both"/>
              <w:rPr>
                <w:color w:val="auto"/>
                <w:szCs w:val="21"/>
                <w:highlight w:val="none"/>
              </w:rPr>
            </w:pPr>
            <w:r>
              <w:rPr>
                <w:color w:val="auto"/>
                <w:szCs w:val="21"/>
                <w:highlight w:val="none"/>
              </w:rPr>
              <w:t>1</w:t>
            </w:r>
          </w:p>
        </w:tc>
        <w:tc>
          <w:tcPr>
            <w:tcW w:w="1470" w:type="dxa"/>
            <w:noWrap w:val="0"/>
            <w:vAlign w:val="top"/>
          </w:tcPr>
          <w:p w14:paraId="7C831B1A">
            <w:pPr>
              <w:spacing w:line="248" w:lineRule="auto"/>
              <w:jc w:val="center"/>
              <w:rPr>
                <w:color w:val="auto"/>
                <w:highlight w:val="none"/>
              </w:rPr>
            </w:pPr>
          </w:p>
          <w:p w14:paraId="5D0BCFAA">
            <w:pPr>
              <w:spacing w:line="248" w:lineRule="auto"/>
              <w:jc w:val="center"/>
              <w:rPr>
                <w:color w:val="auto"/>
                <w:highlight w:val="none"/>
              </w:rPr>
            </w:pPr>
          </w:p>
          <w:p w14:paraId="369E102D">
            <w:pPr>
              <w:spacing w:line="248" w:lineRule="auto"/>
              <w:jc w:val="center"/>
              <w:rPr>
                <w:color w:val="auto"/>
                <w:highlight w:val="none"/>
              </w:rPr>
            </w:pPr>
          </w:p>
          <w:p w14:paraId="4FF229FE">
            <w:pPr>
              <w:spacing w:line="248" w:lineRule="auto"/>
              <w:jc w:val="center"/>
              <w:rPr>
                <w:color w:val="auto"/>
                <w:highlight w:val="none"/>
              </w:rPr>
            </w:pPr>
          </w:p>
          <w:p w14:paraId="1869665B">
            <w:pPr>
              <w:spacing w:line="248" w:lineRule="auto"/>
              <w:jc w:val="center"/>
              <w:rPr>
                <w:color w:val="auto"/>
                <w:highlight w:val="none"/>
              </w:rPr>
            </w:pPr>
          </w:p>
          <w:p w14:paraId="7C720BEF">
            <w:pPr>
              <w:spacing w:line="249" w:lineRule="auto"/>
              <w:jc w:val="center"/>
              <w:rPr>
                <w:rFonts w:hint="eastAsia"/>
                <w:color w:val="auto"/>
                <w:highlight w:val="none"/>
                <w:lang w:val="en-US" w:eastAsia="zh-CN"/>
              </w:rPr>
            </w:pPr>
            <w:r>
              <w:rPr>
                <w:rFonts w:hint="eastAsia"/>
                <w:color w:val="auto"/>
                <w:highlight w:val="none"/>
                <w:lang w:val="en-US" w:eastAsia="zh-CN"/>
              </w:rPr>
              <w:t>中国—东盟经贸中心新媒体代运营项目</w:t>
            </w:r>
          </w:p>
          <w:p w14:paraId="3DF212A1">
            <w:pPr>
              <w:spacing w:line="249" w:lineRule="auto"/>
              <w:jc w:val="center"/>
              <w:rPr>
                <w:color w:val="auto"/>
                <w:highlight w:val="none"/>
              </w:rPr>
            </w:pPr>
          </w:p>
          <w:p w14:paraId="0331651D">
            <w:pPr>
              <w:spacing w:line="249" w:lineRule="auto"/>
              <w:jc w:val="center"/>
              <w:rPr>
                <w:color w:val="auto"/>
                <w:highlight w:val="none"/>
              </w:rPr>
            </w:pPr>
          </w:p>
          <w:p w14:paraId="5A5B70FA">
            <w:pPr>
              <w:spacing w:line="249" w:lineRule="auto"/>
              <w:jc w:val="center"/>
              <w:rPr>
                <w:color w:val="auto"/>
                <w:highlight w:val="none"/>
              </w:rPr>
            </w:pPr>
          </w:p>
          <w:p w14:paraId="61B50D21">
            <w:pPr>
              <w:spacing w:before="68" w:line="320" w:lineRule="auto"/>
              <w:ind w:right="106"/>
              <w:jc w:val="center"/>
              <w:rPr>
                <w:rFonts w:hint="eastAsia"/>
                <w:color w:val="auto"/>
                <w:szCs w:val="21"/>
                <w:highlight w:val="none"/>
              </w:rPr>
            </w:pPr>
          </w:p>
        </w:tc>
        <w:tc>
          <w:tcPr>
            <w:tcW w:w="757" w:type="dxa"/>
            <w:gridSpan w:val="2"/>
            <w:noWrap w:val="0"/>
            <w:vAlign w:val="top"/>
          </w:tcPr>
          <w:p w14:paraId="3CDFDB62">
            <w:pPr>
              <w:jc w:val="center"/>
              <w:rPr>
                <w:color w:val="auto"/>
                <w:highlight w:val="none"/>
              </w:rPr>
            </w:pPr>
          </w:p>
          <w:p w14:paraId="4236F84F">
            <w:pPr>
              <w:jc w:val="center"/>
              <w:rPr>
                <w:color w:val="auto"/>
                <w:highlight w:val="none"/>
              </w:rPr>
            </w:pPr>
          </w:p>
          <w:p w14:paraId="245A2E04">
            <w:pPr>
              <w:jc w:val="center"/>
              <w:rPr>
                <w:color w:val="auto"/>
                <w:highlight w:val="none"/>
              </w:rPr>
            </w:pPr>
          </w:p>
          <w:p w14:paraId="23C7BF11">
            <w:pPr>
              <w:jc w:val="center"/>
              <w:rPr>
                <w:color w:val="auto"/>
                <w:highlight w:val="none"/>
              </w:rPr>
            </w:pPr>
          </w:p>
          <w:p w14:paraId="05DF823D">
            <w:pPr>
              <w:spacing w:line="241" w:lineRule="auto"/>
              <w:jc w:val="center"/>
              <w:rPr>
                <w:color w:val="auto"/>
                <w:highlight w:val="none"/>
              </w:rPr>
            </w:pPr>
          </w:p>
          <w:p w14:paraId="4A361245">
            <w:pPr>
              <w:spacing w:before="68" w:line="220" w:lineRule="auto"/>
              <w:ind w:firstLine="166" w:firstLineChars="100"/>
              <w:jc w:val="both"/>
              <w:rPr>
                <w:color w:val="auto"/>
                <w:szCs w:val="21"/>
                <w:highlight w:val="none"/>
              </w:rPr>
            </w:pPr>
            <w:r>
              <w:rPr>
                <w:color w:val="auto"/>
                <w:spacing w:val="-22"/>
                <w:szCs w:val="21"/>
                <w:highlight w:val="none"/>
              </w:rPr>
              <w:t>1</w:t>
            </w:r>
            <w:r>
              <w:rPr>
                <w:color w:val="auto"/>
                <w:spacing w:val="-21"/>
                <w:szCs w:val="21"/>
                <w:highlight w:val="none"/>
              </w:rPr>
              <w:t xml:space="preserve"> 项</w:t>
            </w:r>
          </w:p>
        </w:tc>
        <w:tc>
          <w:tcPr>
            <w:tcW w:w="6799" w:type="dxa"/>
            <w:noWrap w:val="0"/>
            <w:vAlign w:val="top"/>
          </w:tcPr>
          <w:p w14:paraId="0735591D">
            <w:pPr>
              <w:pStyle w:val="40"/>
              <w:numPr>
                <w:ilvl w:val="0"/>
                <w:numId w:val="3"/>
              </w:numPr>
              <w:ind w:left="0" w:lef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运营平台：抖音、快手、短视频、小红书、Bilibili。
</w:t>
            </w:r>
          </w:p>
          <w:p w14:paraId="0C9B5602">
            <w:pPr>
              <w:pStyle w:val="40"/>
              <w:numPr>
                <w:ilvl w:val="0"/>
                <w:numId w:val="3"/>
              </w:numPr>
              <w:ind w:left="0" w:lef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品牌曝光：服务期内全平台累计曝光量≥200 万。
</w:t>
            </w:r>
          </w:p>
          <w:p w14:paraId="7E0AF050">
            <w:pPr>
              <w:pStyle w:val="40"/>
              <w:numPr>
                <w:ilvl w:val="0"/>
                <w:numId w:val="3"/>
              </w:numPr>
              <w:ind w:left="0" w:leftChars="0" w:firstLine="0" w:firstLineChars="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粉丝增长：有效粉丝量≥1.2 万人</w:t>
            </w:r>
            <w:r>
              <w:rPr>
                <w:rFonts w:hint="eastAsia" w:ascii="Times New Roman" w:eastAsia="宋体" w:cs="Times New Roman"/>
                <w:color w:val="auto"/>
                <w:kern w:val="2"/>
                <w:sz w:val="21"/>
                <w:szCs w:val="21"/>
                <w:highlight w:val="none"/>
                <w:lang w:val="en-US" w:eastAsia="zh-CN" w:bidi="ar-SA"/>
              </w:rPr>
              <w:t>。</w:t>
            </w:r>
          </w:p>
          <w:p w14:paraId="2D237DA7">
            <w:pPr>
              <w:pStyle w:val="40"/>
              <w:numPr>
                <w:ilvl w:val="0"/>
                <w:numId w:val="0"/>
              </w:numPr>
              <w:ind w:left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4、</w:t>
            </w:r>
            <w:r>
              <w:rPr>
                <w:rFonts w:hint="default" w:ascii="Times New Roman" w:hAnsi="Times New Roman" w:eastAsia="宋体" w:cs="Times New Roman"/>
                <w:color w:val="auto"/>
                <w:kern w:val="2"/>
                <w:sz w:val="21"/>
                <w:szCs w:val="21"/>
                <w:highlight w:val="none"/>
                <w:lang w:val="en-US" w:eastAsia="zh-CN" w:bidi="ar-SA"/>
              </w:rPr>
              <w:t>口播类</w:t>
            </w:r>
            <w:r>
              <w:rPr>
                <w:rFonts w:hint="eastAsia" w:ascii="Times New Roman" w:eastAsia="宋体" w:cs="Times New Roman"/>
                <w:color w:val="auto"/>
                <w:kern w:val="2"/>
                <w:sz w:val="21"/>
                <w:szCs w:val="21"/>
                <w:highlight w:val="none"/>
                <w:lang w:val="en-US" w:eastAsia="zh-CN" w:bidi="ar-SA"/>
              </w:rPr>
              <w:t>视频制作</w:t>
            </w:r>
            <w:r>
              <w:rPr>
                <w:rFonts w:hint="default" w:ascii="Times New Roman" w:hAnsi="Times New Roman" w:eastAsia="宋体" w:cs="Times New Roman"/>
                <w:color w:val="auto"/>
                <w:kern w:val="2"/>
                <w:sz w:val="21"/>
                <w:szCs w:val="21"/>
                <w:highlight w:val="none"/>
                <w:lang w:val="en-US" w:eastAsia="zh-CN" w:bidi="ar-SA"/>
              </w:rPr>
              <w:t>：主播需有经贸知识与表达力，保证视频音画效果，依主题策划与布置场景，按审核修改初稿。</w:t>
            </w:r>
          </w:p>
          <w:p w14:paraId="591010B6">
            <w:pPr>
              <w:pStyle w:val="40"/>
              <w:numPr>
                <w:ilvl w:val="0"/>
                <w:numId w:val="0"/>
              </w:numPr>
              <w:ind w:left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5、</w:t>
            </w:r>
            <w:r>
              <w:rPr>
                <w:rFonts w:hint="default" w:ascii="Times New Roman" w:hAnsi="Times New Roman" w:eastAsia="宋体" w:cs="Times New Roman"/>
                <w:color w:val="auto"/>
                <w:kern w:val="2"/>
                <w:sz w:val="21"/>
                <w:szCs w:val="21"/>
                <w:highlight w:val="none"/>
                <w:lang w:val="en-US" w:eastAsia="zh-CN" w:bidi="ar-SA"/>
              </w:rPr>
              <w:t>AI + 混剪类</w:t>
            </w:r>
            <w:r>
              <w:rPr>
                <w:rFonts w:hint="eastAsia" w:ascii="Times New Roman" w:eastAsia="宋体" w:cs="Times New Roman"/>
                <w:color w:val="auto"/>
                <w:kern w:val="2"/>
                <w:sz w:val="21"/>
                <w:szCs w:val="21"/>
                <w:highlight w:val="none"/>
                <w:lang w:val="en-US" w:eastAsia="zh-CN" w:bidi="ar-SA"/>
              </w:rPr>
              <w:t>视频制作</w:t>
            </w:r>
            <w:r>
              <w:rPr>
                <w:rFonts w:hint="default" w:ascii="Times New Roman" w:hAnsi="Times New Roman" w:eastAsia="宋体" w:cs="Times New Roman"/>
                <w:color w:val="auto"/>
                <w:kern w:val="2"/>
                <w:sz w:val="21"/>
                <w:szCs w:val="21"/>
                <w:highlight w:val="none"/>
                <w:lang w:val="en-US" w:eastAsia="zh-CN" w:bidi="ar-SA"/>
              </w:rPr>
              <w:t>：用 AI 和混剪技术，契合品牌目标选素材音乐，确保版权合规，沟通处理修改意见</w:t>
            </w:r>
            <w:r>
              <w:rPr>
                <w:rFonts w:hint="eastAsia" w:asci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保证内容合规无侵权。</w:t>
            </w:r>
          </w:p>
          <w:p w14:paraId="237DA3EC">
            <w:pPr>
              <w:pStyle w:val="40"/>
              <w:numPr>
                <w:ilvl w:val="0"/>
                <w:numId w:val="0"/>
              </w:numPr>
              <w:ind w:left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6、定期开展直播培训活动，</w:t>
            </w:r>
            <w:r>
              <w:rPr>
                <w:rFonts w:hint="default" w:ascii="Times New Roman" w:hAnsi="Times New Roman" w:eastAsia="宋体" w:cs="Times New Roman"/>
                <w:color w:val="auto"/>
                <w:kern w:val="2"/>
                <w:sz w:val="21"/>
                <w:szCs w:val="21"/>
                <w:highlight w:val="none"/>
                <w:lang w:val="en-US" w:eastAsia="zh-CN" w:bidi="ar-SA"/>
              </w:rPr>
              <w:t>安排专业讲师定制课程，含策划、技巧内容，线上或线下授课，沟通审核方案，培训后评估反馈。</w:t>
            </w:r>
          </w:p>
          <w:p w14:paraId="57A76647">
            <w:pPr>
              <w:pStyle w:val="40"/>
              <w:numPr>
                <w:ilvl w:val="0"/>
                <w:numId w:val="0"/>
              </w:numPr>
              <w:ind w:left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7、</w:t>
            </w:r>
            <w:r>
              <w:rPr>
                <w:rFonts w:hint="default" w:ascii="Times New Roman" w:hAnsi="Times New Roman" w:eastAsia="宋体" w:cs="Times New Roman"/>
                <w:color w:val="auto"/>
                <w:kern w:val="2"/>
                <w:sz w:val="21"/>
                <w:szCs w:val="21"/>
                <w:highlight w:val="none"/>
                <w:lang w:val="en-US" w:eastAsia="zh-CN" w:bidi="ar-SA"/>
              </w:rPr>
              <w:t>办理</w:t>
            </w:r>
            <w:r>
              <w:rPr>
                <w:rFonts w:hint="eastAsia" w:ascii="Times New Roman" w:eastAsia="宋体" w:cs="Times New Roman"/>
                <w:color w:val="auto"/>
                <w:kern w:val="2"/>
                <w:sz w:val="21"/>
                <w:szCs w:val="21"/>
                <w:highlight w:val="none"/>
                <w:lang w:val="en-US" w:eastAsia="zh-CN" w:bidi="ar-SA"/>
              </w:rPr>
              <w:t>新媒体矩阵</w:t>
            </w:r>
            <w:r>
              <w:rPr>
                <w:rFonts w:hint="default" w:ascii="Times New Roman" w:hAnsi="Times New Roman" w:eastAsia="宋体" w:cs="Times New Roman"/>
                <w:color w:val="auto"/>
                <w:kern w:val="2"/>
                <w:sz w:val="21"/>
                <w:szCs w:val="21"/>
                <w:highlight w:val="none"/>
                <w:lang w:val="en-US" w:eastAsia="zh-CN" w:bidi="ar-SA"/>
              </w:rPr>
              <w:t>账号认证，准备材料跟进进度，保管材料并提前续期。</w:t>
            </w:r>
          </w:p>
          <w:p w14:paraId="5CE47394">
            <w:pPr>
              <w:pStyle w:val="40"/>
              <w:numPr>
                <w:ilvl w:val="0"/>
                <w:numId w:val="0"/>
              </w:numPr>
              <w:ind w:leftChars="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8、</w:t>
            </w:r>
            <w:r>
              <w:rPr>
                <w:rFonts w:hint="default" w:ascii="Times New Roman" w:hAnsi="Times New Roman" w:eastAsia="宋体" w:cs="Times New Roman"/>
                <w:color w:val="auto"/>
                <w:kern w:val="2"/>
                <w:sz w:val="21"/>
                <w:szCs w:val="21"/>
                <w:highlight w:val="none"/>
                <w:lang w:val="en-US" w:eastAsia="zh-CN" w:bidi="ar-SA"/>
              </w:rPr>
              <w:t>制定</w:t>
            </w:r>
            <w:r>
              <w:rPr>
                <w:rFonts w:hint="eastAsia" w:ascii="Times New Roman" w:eastAsia="宋体" w:cs="Times New Roman"/>
                <w:color w:val="auto"/>
                <w:kern w:val="2"/>
                <w:sz w:val="21"/>
                <w:szCs w:val="21"/>
                <w:highlight w:val="none"/>
                <w:lang w:val="en-US" w:eastAsia="zh-CN" w:bidi="ar-SA"/>
              </w:rPr>
              <w:t>投流</w:t>
            </w:r>
            <w:r>
              <w:rPr>
                <w:rFonts w:hint="default" w:ascii="Times New Roman" w:hAnsi="Times New Roman" w:eastAsia="宋体" w:cs="Times New Roman"/>
                <w:color w:val="auto"/>
                <w:kern w:val="2"/>
                <w:sz w:val="21"/>
                <w:szCs w:val="21"/>
                <w:highlight w:val="none"/>
                <w:lang w:val="en-US" w:eastAsia="zh-CN" w:bidi="ar-SA"/>
              </w:rPr>
              <w:t>策略</w:t>
            </w:r>
            <w:r>
              <w:rPr>
                <w:rFonts w:hint="eastAsia" w:ascii="Times New Roman" w:eastAsia="宋体" w:cs="Times New Roman"/>
                <w:color w:val="auto"/>
                <w:kern w:val="2"/>
                <w:sz w:val="21"/>
                <w:szCs w:val="21"/>
                <w:highlight w:val="none"/>
                <w:lang w:val="en-US" w:eastAsia="zh-CN" w:bidi="ar-SA"/>
              </w:rPr>
              <w:t>，优选投放</w:t>
            </w:r>
            <w:r>
              <w:rPr>
                <w:rFonts w:hint="default" w:ascii="Times New Roman" w:hAnsi="Times New Roman" w:eastAsia="宋体" w:cs="Times New Roman"/>
                <w:color w:val="auto"/>
                <w:kern w:val="2"/>
                <w:sz w:val="21"/>
                <w:szCs w:val="21"/>
                <w:highlight w:val="none"/>
                <w:lang w:val="en-US" w:eastAsia="zh-CN" w:bidi="ar-SA"/>
              </w:rPr>
              <w:t>渠道</w:t>
            </w:r>
            <w:r>
              <w:rPr>
                <w:rFonts w:hint="eastAsia" w:asci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时间</w:t>
            </w:r>
            <w:r>
              <w:rPr>
                <w:rFonts w:hint="eastAsia" w:ascii="Times New Roman" w:eastAsia="宋体" w:cs="Times New Roman"/>
                <w:color w:val="auto"/>
                <w:kern w:val="2"/>
                <w:sz w:val="21"/>
                <w:szCs w:val="21"/>
                <w:highlight w:val="none"/>
                <w:lang w:val="en-US" w:eastAsia="zh-CN" w:bidi="ar-SA"/>
              </w:rPr>
              <w:t>及</w:t>
            </w:r>
            <w:r>
              <w:rPr>
                <w:rFonts w:hint="default" w:ascii="Times New Roman" w:hAnsi="Times New Roman" w:eastAsia="宋体" w:cs="Times New Roman"/>
                <w:color w:val="auto"/>
                <w:kern w:val="2"/>
                <w:sz w:val="21"/>
                <w:szCs w:val="21"/>
                <w:highlight w:val="none"/>
                <w:lang w:val="en-US" w:eastAsia="zh-CN" w:bidi="ar-SA"/>
              </w:rPr>
              <w:t>形式，监测分析效果并依数据调整。</w:t>
            </w:r>
          </w:p>
        </w:tc>
      </w:tr>
      <w:tr w14:paraId="52522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9660" w:type="dxa"/>
            <w:gridSpan w:val="5"/>
            <w:noWrap w:val="0"/>
            <w:vAlign w:val="top"/>
          </w:tcPr>
          <w:p w14:paraId="6FE58779">
            <w:pPr>
              <w:spacing w:before="145" w:line="220" w:lineRule="auto"/>
              <w:ind w:left="119"/>
              <w:rPr>
                <w:color w:val="auto"/>
                <w:szCs w:val="21"/>
                <w:highlight w:val="none"/>
              </w:rPr>
            </w:pPr>
            <w:r>
              <w:rPr>
                <w:color w:val="auto"/>
                <w:spacing w:val="-2"/>
                <w:szCs w:val="21"/>
                <w:highlight w:val="none"/>
              </w:rPr>
              <w:t>二、商</w:t>
            </w:r>
            <w:r>
              <w:rPr>
                <w:color w:val="auto"/>
                <w:spacing w:val="-1"/>
                <w:szCs w:val="21"/>
                <w:highlight w:val="none"/>
              </w:rPr>
              <w:t>务要求</w:t>
            </w:r>
          </w:p>
        </w:tc>
      </w:tr>
      <w:tr w14:paraId="32600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2525" w:type="dxa"/>
            <w:gridSpan w:val="3"/>
            <w:noWrap w:val="0"/>
            <w:vAlign w:val="top"/>
          </w:tcPr>
          <w:p w14:paraId="372B7D41">
            <w:pPr>
              <w:spacing w:before="168" w:line="219" w:lineRule="auto"/>
              <w:jc w:val="center"/>
              <w:rPr>
                <w:color w:val="auto"/>
                <w:szCs w:val="21"/>
                <w:highlight w:val="none"/>
              </w:rPr>
            </w:pPr>
            <w:r>
              <w:rPr>
                <w:color w:val="auto"/>
                <w:spacing w:val="-2"/>
                <w:szCs w:val="21"/>
                <w:highlight w:val="none"/>
              </w:rPr>
              <w:t>采</w:t>
            </w:r>
            <w:r>
              <w:rPr>
                <w:color w:val="auto"/>
                <w:spacing w:val="-1"/>
                <w:szCs w:val="21"/>
                <w:highlight w:val="none"/>
              </w:rPr>
              <w:t>购上限阶</w:t>
            </w:r>
          </w:p>
        </w:tc>
        <w:tc>
          <w:tcPr>
            <w:tcW w:w="7135" w:type="dxa"/>
            <w:gridSpan w:val="2"/>
            <w:noWrap w:val="0"/>
            <w:vAlign w:val="top"/>
          </w:tcPr>
          <w:p w14:paraId="73DE35BE">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人民币大</w:t>
            </w:r>
            <w:r>
              <w:rPr>
                <w:rFonts w:hint="default" w:ascii="Times New Roman" w:eastAsia="宋体" w:cs="Times New Roman"/>
                <w:color w:val="auto"/>
                <w:kern w:val="2"/>
                <w:sz w:val="21"/>
                <w:szCs w:val="21"/>
                <w:highlight w:val="none"/>
                <w:lang w:val="en-US" w:eastAsia="zh-CN" w:bidi="ar-SA"/>
              </w:rPr>
              <w:t>写：</w:t>
            </w:r>
            <w:r>
              <w:rPr>
                <w:rFonts w:hint="eastAsia" w:ascii="Times New Roman" w:eastAsia="宋体" w:cs="Times New Roman"/>
                <w:color w:val="auto"/>
                <w:kern w:val="2"/>
                <w:sz w:val="21"/>
                <w:szCs w:val="21"/>
                <w:highlight w:val="none"/>
                <w:lang w:val="en-US" w:eastAsia="zh-CN" w:bidi="ar-SA"/>
              </w:rPr>
              <w:t>壹拾捌万元</w:t>
            </w:r>
            <w:r>
              <w:rPr>
                <w:rFonts w:hint="default" w:ascii="Times New Roman" w:eastAsia="宋体" w:cs="Times New Roman"/>
                <w:color w:val="auto"/>
                <w:kern w:val="2"/>
                <w:sz w:val="21"/>
                <w:szCs w:val="21"/>
                <w:highlight w:val="none"/>
                <w:lang w:val="en-US" w:eastAsia="zh-CN" w:bidi="ar-SA"/>
              </w:rPr>
              <w:t>整，¥</w:t>
            </w:r>
            <w:r>
              <w:rPr>
                <w:rFonts w:hint="eastAsia" w:ascii="Times New Roman" w:eastAsia="宋体" w:cs="Times New Roman"/>
                <w:color w:val="auto"/>
                <w:kern w:val="2"/>
                <w:sz w:val="21"/>
                <w:szCs w:val="21"/>
                <w:highlight w:val="none"/>
                <w:lang w:val="en-US" w:eastAsia="zh-CN" w:bidi="ar-SA"/>
              </w:rPr>
              <w:t>180000</w:t>
            </w:r>
            <w:r>
              <w:rPr>
                <w:rFonts w:hint="default" w:ascii="Times New Roman" w:eastAsia="宋体" w:cs="Times New Roman"/>
                <w:color w:val="auto"/>
                <w:kern w:val="2"/>
                <w:sz w:val="21"/>
                <w:szCs w:val="21"/>
                <w:highlight w:val="none"/>
                <w:lang w:val="en-US" w:eastAsia="zh-CN" w:bidi="ar-SA"/>
              </w:rPr>
              <w:t>.00</w:t>
            </w:r>
            <w:r>
              <w:rPr>
                <w:rFonts w:hint="eastAsia" w:ascii="Times New Roman" w:eastAsia="宋体" w:cs="Times New Roman"/>
                <w:color w:val="auto"/>
                <w:kern w:val="2"/>
                <w:sz w:val="21"/>
                <w:szCs w:val="21"/>
                <w:highlight w:val="none"/>
                <w:lang w:val="en-US" w:eastAsia="zh-CN" w:bidi="ar-SA"/>
              </w:rPr>
              <w:t>。磋商报价超采购上限价的，磋商无效。</w:t>
            </w:r>
          </w:p>
        </w:tc>
      </w:tr>
      <w:tr w14:paraId="13E4F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525" w:type="dxa"/>
            <w:gridSpan w:val="3"/>
            <w:noWrap w:val="0"/>
            <w:vAlign w:val="top"/>
          </w:tcPr>
          <w:p w14:paraId="0DCC6E73">
            <w:pPr>
              <w:spacing w:line="291" w:lineRule="auto"/>
              <w:jc w:val="center"/>
              <w:rPr>
                <w:color w:val="auto"/>
                <w:highlight w:val="none"/>
              </w:rPr>
            </w:pPr>
          </w:p>
          <w:p w14:paraId="15279E49">
            <w:pPr>
              <w:spacing w:line="292" w:lineRule="auto"/>
              <w:jc w:val="center"/>
              <w:rPr>
                <w:color w:val="auto"/>
                <w:highlight w:val="none"/>
              </w:rPr>
            </w:pPr>
          </w:p>
          <w:p w14:paraId="0501F68E">
            <w:pPr>
              <w:spacing w:before="68" w:line="218" w:lineRule="auto"/>
              <w:jc w:val="center"/>
              <w:rPr>
                <w:color w:val="auto"/>
                <w:szCs w:val="21"/>
                <w:highlight w:val="none"/>
              </w:rPr>
            </w:pPr>
            <w:r>
              <w:rPr>
                <w:color w:val="auto"/>
                <w:spacing w:val="-2"/>
                <w:szCs w:val="21"/>
                <w:highlight w:val="none"/>
              </w:rPr>
              <w:t>磋商</w:t>
            </w:r>
            <w:r>
              <w:rPr>
                <w:color w:val="auto"/>
                <w:spacing w:val="-1"/>
                <w:szCs w:val="21"/>
                <w:highlight w:val="none"/>
              </w:rPr>
              <w:t>报价</w:t>
            </w:r>
          </w:p>
        </w:tc>
        <w:tc>
          <w:tcPr>
            <w:tcW w:w="7135" w:type="dxa"/>
            <w:gridSpan w:val="2"/>
            <w:noWrap w:val="0"/>
            <w:vAlign w:val="top"/>
          </w:tcPr>
          <w:p w14:paraId="4654376E">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本项目磋商报价必须包含但不限于以下费用：</w:t>
            </w:r>
          </w:p>
          <w:p w14:paraId="4C02D8B3">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1.完成采购人指定服务内容的基本费用(包含但不限于施工、劳务、管理、协调、验收等费用)；</w:t>
            </w:r>
          </w:p>
          <w:p w14:paraId="607E0672">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2.完成项目所需的全部人工费用(包含但不限于工作人员的交通费、住宿</w:t>
            </w:r>
          </w:p>
          <w:p w14:paraId="6129D218">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费、伙食补助费)；</w:t>
            </w:r>
          </w:p>
        </w:tc>
      </w:tr>
      <w:tr w14:paraId="7F473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2525" w:type="dxa"/>
            <w:gridSpan w:val="3"/>
            <w:noWrap w:val="0"/>
            <w:vAlign w:val="top"/>
          </w:tcPr>
          <w:p w14:paraId="0BDA5C9C">
            <w:pPr>
              <w:jc w:val="center"/>
              <w:rPr>
                <w:color w:val="auto"/>
                <w:highlight w:val="none"/>
              </w:rPr>
            </w:pPr>
          </w:p>
        </w:tc>
        <w:tc>
          <w:tcPr>
            <w:tcW w:w="7135" w:type="dxa"/>
            <w:gridSpan w:val="2"/>
            <w:noWrap w:val="0"/>
            <w:vAlign w:val="top"/>
          </w:tcPr>
          <w:p w14:paraId="1294F33B">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3.其他费用(包括但不限于知识产权、技术支持、售后服务等费用)，必要的保险费用和各项税费等一切完成本项目服务所需要的费用。</w:t>
            </w:r>
          </w:p>
          <w:p w14:paraId="4379F145">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(注： 以上，磋商竞标人应充分考虑项目实施期间的各类风险系数进行报价，否则，采购人将不予支付竞标人没有列入的项目费用，并认为此项目的费用已包括在总报价中。)</w:t>
            </w:r>
          </w:p>
          <w:p w14:paraId="3315106C">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4.为了确保采购质量和维护公平的竞争，确保竞标人正常履行合同，采购人不接受竞标人的恶意低价竞争。磋商小组认为磋商竞标人的报价明显低于其他通过资格、符合性审查磋商竞标人的报价，有可能影响服务成果质量或者不能诚信履约的，应当要求其在磋商现场合理的时间内提供书面说明，必要时提交相关证明材料，包括但不限于为完成项目的人员数量及其工作时间、项目人员的工资支出以及项目实施过程中可能涉及的其他费用等，磋商竞标人不能证明其报价合理性的，磋商小组应当将其作为无效投标处理。</w:t>
            </w:r>
          </w:p>
        </w:tc>
      </w:tr>
      <w:tr w14:paraId="2B2E8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 w:hRule="atLeast"/>
        </w:trPr>
        <w:tc>
          <w:tcPr>
            <w:tcW w:w="2525" w:type="dxa"/>
            <w:gridSpan w:val="3"/>
            <w:noWrap w:val="0"/>
            <w:vAlign w:val="center"/>
          </w:tcPr>
          <w:p w14:paraId="65994CE8">
            <w:pPr>
              <w:spacing w:before="167" w:line="220" w:lineRule="auto"/>
              <w:jc w:val="center"/>
              <w:rPr>
                <w:color w:val="auto"/>
                <w:szCs w:val="21"/>
                <w:highlight w:val="none"/>
              </w:rPr>
            </w:pPr>
            <w:r>
              <w:rPr>
                <w:color w:val="auto"/>
                <w:spacing w:val="-2"/>
                <w:szCs w:val="21"/>
                <w:highlight w:val="none"/>
              </w:rPr>
              <w:t>合同履行期限</w:t>
            </w:r>
          </w:p>
        </w:tc>
        <w:tc>
          <w:tcPr>
            <w:tcW w:w="7135" w:type="dxa"/>
            <w:gridSpan w:val="2"/>
            <w:noWrap w:val="0"/>
            <w:vAlign w:val="top"/>
          </w:tcPr>
          <w:p w14:paraId="0FC42FEF">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自合同签订之日起，至2025年12月31日。</w:t>
            </w:r>
          </w:p>
        </w:tc>
      </w:tr>
      <w:tr w14:paraId="3CC1C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2525" w:type="dxa"/>
            <w:gridSpan w:val="3"/>
            <w:noWrap w:val="0"/>
            <w:vAlign w:val="center"/>
          </w:tcPr>
          <w:p w14:paraId="48D0DF28">
            <w:pPr>
              <w:spacing w:before="285" w:line="220" w:lineRule="auto"/>
              <w:jc w:val="center"/>
              <w:rPr>
                <w:color w:val="auto"/>
                <w:szCs w:val="21"/>
                <w:highlight w:val="none"/>
              </w:rPr>
            </w:pPr>
            <w:r>
              <w:rPr>
                <w:color w:val="auto"/>
                <w:spacing w:val="-2"/>
                <w:szCs w:val="21"/>
                <w:highlight w:val="none"/>
              </w:rPr>
              <w:t>合同签订期</w:t>
            </w:r>
          </w:p>
        </w:tc>
        <w:tc>
          <w:tcPr>
            <w:tcW w:w="7135" w:type="dxa"/>
            <w:gridSpan w:val="2"/>
            <w:noWrap w:val="0"/>
            <w:vAlign w:val="top"/>
          </w:tcPr>
          <w:p w14:paraId="3353E7A7">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自成交通知书发出之日起5个日历日内。</w:t>
            </w:r>
          </w:p>
        </w:tc>
      </w:tr>
      <w:tr w14:paraId="47524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2525" w:type="dxa"/>
            <w:gridSpan w:val="3"/>
            <w:noWrap w:val="0"/>
            <w:vAlign w:val="center"/>
          </w:tcPr>
          <w:p w14:paraId="6325D198">
            <w:pPr>
              <w:spacing w:before="284" w:line="220" w:lineRule="auto"/>
              <w:jc w:val="center"/>
              <w:rPr>
                <w:color w:val="auto"/>
                <w:szCs w:val="21"/>
                <w:highlight w:val="none"/>
              </w:rPr>
            </w:pPr>
            <w:r>
              <w:rPr>
                <w:color w:val="auto"/>
                <w:spacing w:val="-2"/>
                <w:szCs w:val="21"/>
                <w:highlight w:val="none"/>
              </w:rPr>
              <w:t>质量要</w:t>
            </w:r>
            <w:r>
              <w:rPr>
                <w:color w:val="auto"/>
                <w:spacing w:val="-1"/>
                <w:szCs w:val="21"/>
                <w:highlight w:val="none"/>
              </w:rPr>
              <w:t>求</w:t>
            </w:r>
          </w:p>
        </w:tc>
        <w:tc>
          <w:tcPr>
            <w:tcW w:w="7135" w:type="dxa"/>
            <w:gridSpan w:val="2"/>
            <w:noWrap w:val="0"/>
            <w:vAlign w:val="top"/>
          </w:tcPr>
          <w:p w14:paraId="158DFBC8">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涉及国家、行业及地方标准或者其他标准、规范的， 应执行相应的标准、规范；无标准、规范的须通过采购单位审核验收。</w:t>
            </w:r>
          </w:p>
        </w:tc>
      </w:tr>
      <w:tr w14:paraId="4D55D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2525" w:type="dxa"/>
            <w:gridSpan w:val="3"/>
            <w:noWrap w:val="0"/>
            <w:vAlign w:val="center"/>
          </w:tcPr>
          <w:p w14:paraId="23822499">
            <w:pPr>
              <w:spacing w:before="164" w:line="219" w:lineRule="auto"/>
              <w:jc w:val="center"/>
              <w:rPr>
                <w:color w:val="auto"/>
                <w:szCs w:val="21"/>
                <w:highlight w:val="none"/>
              </w:rPr>
            </w:pPr>
            <w:r>
              <w:rPr>
                <w:color w:val="auto"/>
                <w:spacing w:val="-2"/>
                <w:szCs w:val="21"/>
                <w:highlight w:val="none"/>
              </w:rPr>
              <w:t>交货时间</w:t>
            </w:r>
            <w:r>
              <w:rPr>
                <w:color w:val="auto"/>
                <w:spacing w:val="-1"/>
                <w:szCs w:val="21"/>
                <w:highlight w:val="none"/>
              </w:rPr>
              <w:t>和地点</w:t>
            </w:r>
          </w:p>
        </w:tc>
        <w:tc>
          <w:tcPr>
            <w:tcW w:w="7135" w:type="dxa"/>
            <w:gridSpan w:val="2"/>
            <w:noWrap w:val="0"/>
            <w:vAlign w:val="top"/>
          </w:tcPr>
          <w:p w14:paraId="47D12454">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采购人指定。</w:t>
            </w:r>
          </w:p>
        </w:tc>
      </w:tr>
      <w:tr w14:paraId="73A7F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 w:hRule="atLeast"/>
        </w:trPr>
        <w:tc>
          <w:tcPr>
            <w:tcW w:w="2525" w:type="dxa"/>
            <w:gridSpan w:val="3"/>
            <w:noWrap w:val="0"/>
            <w:vAlign w:val="center"/>
          </w:tcPr>
          <w:p w14:paraId="11104E0E">
            <w:pPr>
              <w:spacing w:before="68" w:line="220" w:lineRule="auto"/>
              <w:jc w:val="center"/>
              <w:rPr>
                <w:color w:val="auto"/>
                <w:szCs w:val="21"/>
                <w:highlight w:val="none"/>
              </w:rPr>
            </w:pPr>
            <w:r>
              <w:rPr>
                <w:color w:val="auto"/>
                <w:spacing w:val="-3"/>
                <w:szCs w:val="21"/>
                <w:highlight w:val="none"/>
              </w:rPr>
              <w:t>支付方式</w:t>
            </w:r>
          </w:p>
        </w:tc>
        <w:tc>
          <w:tcPr>
            <w:tcW w:w="7135" w:type="dxa"/>
            <w:gridSpan w:val="2"/>
            <w:noWrap w:val="0"/>
            <w:vAlign w:val="center"/>
          </w:tcPr>
          <w:p w14:paraId="00EA1834">
            <w:pPr>
              <w:pStyle w:val="40"/>
              <w:numPr>
                <w:ilvl w:val="0"/>
                <w:numId w:val="0"/>
              </w:numPr>
              <w:ind w:leftChars="0"/>
              <w:rPr>
                <w:rFonts w:hint="eastAsia" w:ascii="Times New Roman" w:eastAsia="宋体" w:cs="Times New Roman"/>
                <w:color w:val="auto"/>
                <w:kern w:val="2"/>
                <w:sz w:val="21"/>
                <w:szCs w:val="21"/>
                <w:highlight w:val="none"/>
                <w:lang w:val="en-US" w:eastAsia="zh-CN" w:bidi="ar-SA"/>
              </w:rPr>
            </w:pPr>
            <w:r>
              <w:rPr>
                <w:rFonts w:hint="eastAsia" w:ascii="Times New Roman" w:eastAsia="宋体" w:cs="Times New Roman"/>
                <w:color w:val="auto"/>
                <w:kern w:val="2"/>
                <w:sz w:val="21"/>
                <w:szCs w:val="21"/>
                <w:highlight w:val="none"/>
                <w:lang w:val="en-US" w:eastAsia="zh-CN" w:bidi="ar-SA"/>
              </w:rPr>
              <w:t>付款方式以合同最终签订版本为准</w:t>
            </w:r>
          </w:p>
        </w:tc>
      </w:tr>
    </w:tbl>
    <w:p w14:paraId="2A8029B5">
      <w:pPr>
        <w:spacing w:line="254" w:lineRule="auto"/>
        <w:rPr>
          <w:color w:val="auto"/>
          <w:highlight w:val="none"/>
        </w:rPr>
        <w:sectPr>
          <w:footerReference r:id="rId4" w:type="first"/>
          <w:footerReference r:id="rId3" w:type="default"/>
          <w:pgSz w:w="11850" w:h="16783"/>
          <w:pgMar w:top="1247" w:right="1247" w:bottom="1247" w:left="1247" w:header="851" w:footer="992" w:gutter="0"/>
          <w:pgNumType w:fmt="decimal" w:start="1"/>
          <w:cols w:space="720" w:num="1"/>
          <w:titlePg/>
          <w:docGrid w:type="lines" w:linePitch="318" w:charSpace="0"/>
        </w:sectPr>
      </w:pPr>
    </w:p>
    <w:tbl>
      <w:tblPr>
        <w:tblStyle w:val="41"/>
        <w:tblW w:w="9719" w:type="dxa"/>
        <w:tblInd w:w="-29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42"/>
        <w:gridCol w:w="7177"/>
      </w:tblGrid>
      <w:tr w14:paraId="1EB89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9" w:hRule="atLeast"/>
        </w:trPr>
        <w:tc>
          <w:tcPr>
            <w:tcW w:w="2542" w:type="dxa"/>
            <w:noWrap w:val="0"/>
            <w:vAlign w:val="top"/>
          </w:tcPr>
          <w:p w14:paraId="0E3E0601">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2B0341A3">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315B3851">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245E4582">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093E92FA">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4D2BBB42">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5C45E637">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16BBE51E">
            <w:pPr>
              <w:spacing w:line="254" w:lineRule="auto"/>
              <w:rPr>
                <w:rFonts w:hint="eastAsia" w:ascii="Times New Roman" w:hAnsi="Times New Roman" w:eastAsia="宋体" w:cs="Times New Roman"/>
                <w:color w:val="auto"/>
                <w:kern w:val="2"/>
                <w:sz w:val="21"/>
                <w:szCs w:val="21"/>
                <w:highlight w:val="none"/>
                <w:lang w:val="en-US" w:eastAsia="zh-CN" w:bidi="ar-SA"/>
              </w:rPr>
            </w:pPr>
          </w:p>
          <w:p w14:paraId="64692563">
            <w:pPr>
              <w:spacing w:line="255" w:lineRule="auto"/>
              <w:rPr>
                <w:rFonts w:hint="eastAsia" w:ascii="Times New Roman" w:hAnsi="Times New Roman" w:eastAsia="宋体" w:cs="Times New Roman"/>
                <w:color w:val="auto"/>
                <w:kern w:val="2"/>
                <w:sz w:val="21"/>
                <w:szCs w:val="21"/>
                <w:highlight w:val="none"/>
                <w:lang w:val="en-US" w:eastAsia="zh-CN" w:bidi="ar-SA"/>
              </w:rPr>
            </w:pPr>
          </w:p>
          <w:p w14:paraId="3957ED7B">
            <w:pPr>
              <w:spacing w:before="68" w:line="220" w:lineRule="auto"/>
              <w:ind w:left="193"/>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验收的相关注意事项</w:t>
            </w:r>
          </w:p>
        </w:tc>
        <w:tc>
          <w:tcPr>
            <w:tcW w:w="7177" w:type="dxa"/>
            <w:noWrap w:val="0"/>
            <w:vAlign w:val="top"/>
          </w:tcPr>
          <w:p w14:paraId="70689669">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1.成交竞标人应按采购文件规定的服务内容、技术要求、质量标准向采购人提供无瑕疵的服务成果；成交人对提交的最终服务成果质量负责。</w:t>
            </w:r>
          </w:p>
          <w:p w14:paraId="560DD1B4">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项目验收时由采购人对照采购文件、成交竞标人的响应文件等相应内容及要求全面核对检验，如不符合采购文件的服务内容及要求，或者提供虚假承诺的，按相关规定综止合同及进行违约处理，成交供应商承担所有责任和费用，造成采购人利益损失的还须赔偿，且采购人保留进一步追究责任的权利。</w:t>
            </w:r>
          </w:p>
          <w:p w14:paraId="07721487">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3.成交供应商在投标活动中提供任何虚假材料，其投标无效，并报监管部门查处；成交后发现的，成交供应商须双倍赔偿采购人，且民事赔偿并不免除违法磋商竞标人的行政与刑事责任。</w:t>
            </w:r>
          </w:p>
          <w:p w14:paraId="4B036560">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4.采购项目进行验收时，采购人根据实际情况可邀请第三方机构参与验收，参与验收第三方机构的意见作为验收的参考资料一并存档；所产生的费用由成交供应商承担，采购人不承担产生的任何费用。</w:t>
            </w:r>
          </w:p>
          <w:p w14:paraId="01F07C49">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5.由采购人组成验收小组对本项目服务成果进行验收。未通过验收的，成交竞标人必须根据验收小组的意见和建议，在规定的时间内进行修改、补充和完善。成交人无正当理由拒不改正的，视为违约，并按相关约定处理。</w:t>
            </w:r>
          </w:p>
          <w:p w14:paraId="569A74B2">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6.验收过程中，如产生费用由成交供应商承担。</w:t>
            </w:r>
          </w:p>
        </w:tc>
      </w:tr>
      <w:tr w14:paraId="2FCBC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2542" w:type="dxa"/>
            <w:noWrap w:val="0"/>
            <w:vAlign w:val="top"/>
          </w:tcPr>
          <w:p w14:paraId="792C6A9C">
            <w:pPr>
              <w:spacing w:line="266" w:lineRule="auto"/>
              <w:rPr>
                <w:rFonts w:hint="eastAsia" w:ascii="Times New Roman" w:hAnsi="Times New Roman" w:eastAsia="宋体" w:cs="Times New Roman"/>
                <w:color w:val="auto"/>
                <w:kern w:val="2"/>
                <w:sz w:val="21"/>
                <w:szCs w:val="21"/>
                <w:highlight w:val="none"/>
                <w:lang w:val="en-US" w:eastAsia="zh-CN" w:bidi="ar-SA"/>
              </w:rPr>
            </w:pPr>
          </w:p>
          <w:p w14:paraId="22647724">
            <w:pPr>
              <w:spacing w:line="266" w:lineRule="auto"/>
              <w:rPr>
                <w:rFonts w:hint="eastAsia" w:ascii="Times New Roman" w:hAnsi="Times New Roman" w:eastAsia="宋体" w:cs="Times New Roman"/>
                <w:color w:val="auto"/>
                <w:kern w:val="2"/>
                <w:sz w:val="21"/>
                <w:szCs w:val="21"/>
                <w:highlight w:val="none"/>
                <w:lang w:val="en-US" w:eastAsia="zh-CN" w:bidi="ar-SA"/>
              </w:rPr>
            </w:pPr>
          </w:p>
          <w:p w14:paraId="3B0D364D">
            <w:pPr>
              <w:spacing w:before="68" w:line="220" w:lineRule="auto"/>
              <w:ind w:left="720" w:firstLine="210" w:firstLineChars="1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其他说明</w:t>
            </w:r>
          </w:p>
        </w:tc>
        <w:tc>
          <w:tcPr>
            <w:tcW w:w="7177" w:type="dxa"/>
            <w:noWrap w:val="0"/>
            <w:vAlign w:val="top"/>
          </w:tcPr>
          <w:p w14:paraId="2FBA2A4F">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1.保密要求</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成交竞标人对项目数据采集、数据成果文件的内容涉及保密要求的，应进行严格保密，如有泄露，采购人有权追究法律责任，并要求成交竞标人承担经济损失。</w:t>
            </w:r>
          </w:p>
          <w:p w14:paraId="4D82A331">
            <w:pPr>
              <w:spacing w:line="359" w:lineRule="auto"/>
              <w:ind w:right="10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2.分包</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本项目不允许分包。</w:t>
            </w:r>
          </w:p>
        </w:tc>
      </w:tr>
    </w:tbl>
    <w:p w14:paraId="4093EA37">
      <w:pPr>
        <w:rPr>
          <w:rFonts w:hint="eastAsia" w:ascii="Times New Roman" w:hAnsi="Times New Roman" w:eastAsia="宋体" w:cs="Times New Roman"/>
          <w:color w:val="auto"/>
          <w:kern w:val="2"/>
          <w:sz w:val="21"/>
          <w:szCs w:val="21"/>
          <w:highlight w:val="none"/>
          <w:lang w:val="en-US" w:eastAsia="zh-CN" w:bidi="ar-SA"/>
        </w:rPr>
      </w:pPr>
    </w:p>
    <w:p w14:paraId="1AD9B165">
      <w:pPr>
        <w:jc w:val="center"/>
        <w:outlineLvl w:val="0"/>
        <w:rPr>
          <w:b/>
          <w:bCs/>
          <w:color w:val="auto"/>
          <w:sz w:val="44"/>
          <w:szCs w:val="44"/>
          <w:highlight w:val="none"/>
        </w:rPr>
      </w:pPr>
      <w:r>
        <w:rPr>
          <w:b/>
          <w:bCs/>
          <w:color w:val="auto"/>
          <w:sz w:val="44"/>
          <w:szCs w:val="44"/>
          <w:highlight w:val="none"/>
        </w:rPr>
        <w:br w:type="page"/>
      </w:r>
      <w:bookmarkEnd w:id="11"/>
      <w:bookmarkEnd w:id="12"/>
      <w:bookmarkEnd w:id="13"/>
      <w:r>
        <w:rPr>
          <w:b/>
          <w:bCs/>
          <w:color w:val="auto"/>
          <w:sz w:val="44"/>
          <w:szCs w:val="44"/>
          <w:highlight w:val="none"/>
        </w:rPr>
        <w:t>第四章  评审方法</w:t>
      </w:r>
    </w:p>
    <w:p w14:paraId="4CD86920">
      <w:pPr>
        <w:pStyle w:val="23"/>
        <w:spacing w:line="380" w:lineRule="exact"/>
        <w:ind w:firstLine="420"/>
        <w:jc w:val="left"/>
        <w:rPr>
          <w:rFonts w:ascii="Times New Roman" w:hAnsi="Times New Roman" w:cs="Times New Roman"/>
          <w:bCs/>
          <w:color w:val="auto"/>
          <w:highlight w:val="none"/>
        </w:rPr>
      </w:pPr>
    </w:p>
    <w:p w14:paraId="77BB075A">
      <w:pPr>
        <w:pStyle w:val="23"/>
        <w:spacing w:line="380" w:lineRule="exact"/>
        <w:ind w:firstLine="420"/>
        <w:jc w:val="left"/>
        <w:rPr>
          <w:rFonts w:ascii="Times New Roman" w:hAnsi="Times New Roman" w:cs="Times New Roman"/>
          <w:bCs/>
          <w:color w:val="auto"/>
          <w:highlight w:val="none"/>
        </w:rPr>
      </w:pPr>
      <w:r>
        <w:rPr>
          <w:rFonts w:ascii="Times New Roman" w:hAnsi="Times New Roman" w:cs="Times New Roman"/>
          <w:bCs/>
          <w:color w:val="auto"/>
          <w:highlight w:val="none"/>
        </w:rPr>
        <w:t>（一）竞争性磋商小组构成：本采购项目的竞争性磋商小组由代表共3人单数构成。</w:t>
      </w:r>
    </w:p>
    <w:p w14:paraId="747BE43F">
      <w:pPr>
        <w:pStyle w:val="23"/>
        <w:spacing w:line="380" w:lineRule="exact"/>
        <w:ind w:firstLine="420"/>
        <w:jc w:val="left"/>
        <w:rPr>
          <w:rFonts w:ascii="Times New Roman" w:hAnsi="Times New Roman" w:cs="Times New Roman"/>
          <w:bCs/>
          <w:color w:val="auto"/>
          <w:highlight w:val="none"/>
        </w:rPr>
      </w:pPr>
      <w:r>
        <w:rPr>
          <w:rFonts w:ascii="Times New Roman" w:hAnsi="Times New Roman" w:cs="Times New Roman"/>
          <w:bCs/>
          <w:color w:val="auto"/>
          <w:highlight w:val="none"/>
        </w:rPr>
        <w:t>（二）评标依据：</w:t>
      </w:r>
      <w:r>
        <w:rPr>
          <w:rFonts w:ascii="Times New Roman" w:hAnsi="Times New Roman" w:eastAsia="宋体" w:cs="Times New Roman"/>
          <w:bCs/>
          <w:color w:val="auto"/>
          <w:highlight w:val="none"/>
        </w:rPr>
        <w:t xml:space="preserve">竞争性磋商小组将以竞争性磋商采购文件、磋商响应文件为评标依据，对竞标人的投标报价、方案、业绩与资历等方面内容按百分制打分。其中价格分 </w:t>
      </w:r>
      <w:r>
        <w:rPr>
          <w:rFonts w:hint="eastAsia" w:ascii="Times New Roman" w:hAnsi="Times New Roman" w:cs="Times New Roman"/>
          <w:bCs/>
          <w:color w:val="auto"/>
          <w:highlight w:val="none"/>
          <w:lang w:val="en-US" w:eastAsia="zh-CN"/>
        </w:rPr>
        <w:t>30</w:t>
      </w:r>
      <w:r>
        <w:rPr>
          <w:rFonts w:ascii="Times New Roman" w:hAnsi="Times New Roman" w:eastAsia="宋体" w:cs="Times New Roman"/>
          <w:bCs/>
          <w:color w:val="auto"/>
          <w:highlight w:val="none"/>
        </w:rPr>
        <w:t xml:space="preserve"> 分，方案分 </w:t>
      </w:r>
      <w:r>
        <w:rPr>
          <w:rFonts w:hint="eastAsia" w:ascii="Times New Roman" w:hAnsi="Times New Roman" w:cs="Times New Roman"/>
          <w:bCs/>
          <w:color w:val="auto"/>
          <w:highlight w:val="none"/>
          <w:lang w:val="en-US" w:eastAsia="zh-CN"/>
        </w:rPr>
        <w:t>30</w:t>
      </w:r>
      <w:r>
        <w:rPr>
          <w:rFonts w:ascii="Times New Roman" w:hAnsi="Times New Roman" w:eastAsia="宋体" w:cs="Times New Roman"/>
          <w:bCs/>
          <w:color w:val="auto"/>
          <w:highlight w:val="none"/>
        </w:rPr>
        <w:t xml:space="preserve"> 分，业绩与资历分</w:t>
      </w:r>
      <w:r>
        <w:rPr>
          <w:rFonts w:hint="eastAsia" w:ascii="Times New Roman" w:hAnsi="Times New Roman" w:cs="Times New Roman"/>
          <w:bCs/>
          <w:color w:val="auto"/>
          <w:highlight w:val="none"/>
          <w:lang w:val="en-US" w:eastAsia="zh-CN"/>
        </w:rPr>
        <w:t>35</w:t>
      </w:r>
      <w:r>
        <w:rPr>
          <w:rFonts w:ascii="Times New Roman" w:hAnsi="Times New Roman" w:eastAsia="宋体" w:cs="Times New Roman"/>
          <w:bCs/>
          <w:color w:val="auto"/>
          <w:highlight w:val="none"/>
        </w:rPr>
        <w:t>分</w:t>
      </w:r>
      <w:r>
        <w:rPr>
          <w:rFonts w:hint="eastAsia" w:ascii="Times New Roman" w:hAnsi="Times New Roman" w:cs="Times New Roman"/>
          <w:bCs/>
          <w:color w:val="auto"/>
          <w:highlight w:val="none"/>
          <w:lang w:eastAsia="zh-CN"/>
        </w:rPr>
        <w:t>，</w:t>
      </w:r>
      <w:r>
        <w:rPr>
          <w:rFonts w:hint="eastAsia" w:ascii="Times New Roman" w:hAnsi="Times New Roman" w:cs="Times New Roman"/>
          <w:bCs/>
          <w:color w:val="auto"/>
          <w:highlight w:val="none"/>
          <w:lang w:val="en-US" w:eastAsia="zh-CN"/>
        </w:rPr>
        <w:t>增值服务分5分</w:t>
      </w:r>
      <w:r>
        <w:rPr>
          <w:rFonts w:ascii="Times New Roman" w:hAnsi="Times New Roman" w:eastAsia="宋体" w:cs="Times New Roman"/>
          <w:bCs/>
          <w:color w:val="auto"/>
          <w:highlight w:val="none"/>
        </w:rPr>
        <w:t>。</w:t>
      </w:r>
    </w:p>
    <w:p w14:paraId="18BB6C69">
      <w:pPr>
        <w:widowControl/>
        <w:spacing w:line="380" w:lineRule="exact"/>
        <w:ind w:firstLine="420" w:firstLineChars="200"/>
        <w:jc w:val="left"/>
        <w:rPr>
          <w:bCs/>
          <w:color w:val="auto"/>
          <w:szCs w:val="21"/>
          <w:highlight w:val="none"/>
        </w:rPr>
      </w:pPr>
      <w:r>
        <w:rPr>
          <w:bCs/>
          <w:color w:val="auto"/>
          <w:szCs w:val="21"/>
          <w:highlight w:val="none"/>
        </w:rPr>
        <w:t>（三）计分办法（按四舍五入取至小数点后两位）：</w:t>
      </w:r>
    </w:p>
    <w:p w14:paraId="3FB95598">
      <w:pPr>
        <w:pStyle w:val="23"/>
        <w:spacing w:line="380" w:lineRule="exact"/>
        <w:ind w:firstLine="420"/>
        <w:rPr>
          <w:rFonts w:ascii="Times New Roman" w:hAnsi="Times New Roman" w:cs="Times New Roman"/>
          <w:bCs/>
          <w:color w:val="auto"/>
          <w:highlight w:val="none"/>
        </w:rPr>
      </w:pPr>
      <w:r>
        <w:rPr>
          <w:rFonts w:ascii="Times New Roman" w:hAnsi="Times New Roman" w:cs="Times New Roman"/>
          <w:bCs/>
          <w:color w:val="auto"/>
          <w:highlight w:val="none"/>
        </w:rPr>
        <w:t>（四）评分细则：</w:t>
      </w:r>
    </w:p>
    <w:p w14:paraId="45AAC3D0">
      <w:pPr>
        <w:pStyle w:val="23"/>
        <w:spacing w:line="380" w:lineRule="exact"/>
        <w:ind w:firstLine="422"/>
        <w:rPr>
          <w:rFonts w:ascii="Times New Roman" w:hAnsi="Times New Roman" w:cs="Times New Roman"/>
          <w:b/>
          <w:bCs/>
          <w:color w:val="auto"/>
          <w:highlight w:val="none"/>
        </w:rPr>
      </w:pPr>
      <w:r>
        <w:rPr>
          <w:rFonts w:ascii="Times New Roman" w:hAnsi="Times New Roman" w:cs="Times New Roman"/>
          <w:b/>
          <w:bCs/>
          <w:color w:val="auto"/>
          <w:highlight w:val="none"/>
        </w:rPr>
        <w:t>1．价格分…………………………………………………………………………………</w:t>
      </w:r>
      <w:r>
        <w:rPr>
          <w:rFonts w:hint="eastAsia" w:ascii="Times New Roman" w:hAnsi="Times New Roman" w:cs="Times New Roman"/>
          <w:b/>
          <w:bCs/>
          <w:color w:val="auto"/>
          <w:highlight w:val="none"/>
          <w:lang w:val="en-US" w:eastAsia="zh-CN"/>
        </w:rPr>
        <w:t>30</w:t>
      </w:r>
      <w:r>
        <w:rPr>
          <w:rFonts w:ascii="Times New Roman" w:hAnsi="Times New Roman" w:cs="Times New Roman"/>
          <w:b/>
          <w:bCs/>
          <w:color w:val="auto"/>
          <w:highlight w:val="none"/>
        </w:rPr>
        <w:t>分</w:t>
      </w:r>
    </w:p>
    <w:p w14:paraId="04BAC296">
      <w:pPr>
        <w:pStyle w:val="23"/>
        <w:spacing w:line="380" w:lineRule="exact"/>
        <w:ind w:firstLine="420"/>
        <w:jc w:val="left"/>
        <w:rPr>
          <w:rFonts w:hint="default" w:ascii="Times New Roman" w:hAnsi="Times New Roman" w:cs="Times New Roman"/>
          <w:bCs/>
          <w:color w:val="auto"/>
          <w:highlight w:val="yellow"/>
          <w:lang w:val="en-US" w:eastAsia="zh-CN"/>
        </w:rPr>
      </w:pPr>
      <w:bookmarkStart w:id="25" w:name="_GoBack"/>
      <w:r>
        <w:rPr>
          <w:rFonts w:hint="eastAsia" w:ascii="Times New Roman" w:hAnsi="Times New Roman" w:cs="Times New Roman"/>
          <w:bCs/>
          <w:color w:val="auto"/>
          <w:highlight w:val="yellow"/>
          <w:lang w:val="en-US" w:eastAsia="zh-CN"/>
        </w:rPr>
        <w:t>取进入评审的</w:t>
      </w:r>
      <w:r>
        <w:rPr>
          <w:rFonts w:hint="default" w:ascii="Times New Roman" w:hAnsi="Times New Roman" w:cs="Times New Roman"/>
          <w:bCs/>
          <w:color w:val="auto"/>
          <w:highlight w:val="yellow"/>
          <w:lang w:val="en-US" w:eastAsia="zh-CN"/>
        </w:rPr>
        <w:t>效投标报价的算术平均值作为评标基准价</w:t>
      </w:r>
      <w:r>
        <w:rPr>
          <w:rFonts w:hint="eastAsia" w:ascii="Times New Roman" w:hAnsi="Times New Roman" w:cs="Times New Roman"/>
          <w:bCs/>
          <w:color w:val="auto"/>
          <w:highlight w:val="yellow"/>
          <w:lang w:val="en-US" w:eastAsia="zh-CN"/>
        </w:rPr>
        <w:t>，</w:t>
      </w:r>
      <w:r>
        <w:rPr>
          <w:rFonts w:ascii="Times New Roman" w:hAnsi="Times New Roman" w:cs="Times New Roman"/>
          <w:bCs/>
          <w:color w:val="auto"/>
          <w:highlight w:val="yellow"/>
          <w:lang w:val="en-US" w:eastAsia="zh-CN"/>
        </w:rPr>
        <w:t>当投标人有效投标总报价等于评标基准价时得满分</w:t>
      </w:r>
      <w:r>
        <w:rPr>
          <w:rFonts w:hint="eastAsia" w:ascii="Times New Roman" w:hAnsi="Times New Roman" w:cs="Times New Roman"/>
          <w:bCs/>
          <w:color w:val="auto"/>
          <w:highlight w:val="yellow"/>
          <w:lang w:val="en-US" w:eastAsia="zh-CN"/>
        </w:rPr>
        <w:t>30</w:t>
      </w:r>
      <w:r>
        <w:rPr>
          <w:rFonts w:ascii="Times New Roman" w:hAnsi="Times New Roman" w:cs="Times New Roman"/>
          <w:bCs/>
          <w:color w:val="auto"/>
          <w:highlight w:val="yellow"/>
          <w:lang w:val="en-US" w:eastAsia="zh-CN"/>
        </w:rPr>
        <w:t>分，</w:t>
      </w:r>
      <w:r>
        <w:rPr>
          <w:rFonts w:hint="eastAsia" w:ascii="Times New Roman" w:hAnsi="Times New Roman" w:cs="Times New Roman"/>
          <w:bCs/>
          <w:color w:val="auto"/>
          <w:highlight w:val="yellow"/>
          <w:lang w:val="en-US" w:eastAsia="zh-CN"/>
        </w:rPr>
        <w:t>每</w:t>
      </w:r>
      <w:r>
        <w:rPr>
          <w:rFonts w:ascii="Times New Roman" w:hAnsi="Times New Roman" w:cs="Times New Roman"/>
          <w:bCs/>
          <w:color w:val="auto"/>
          <w:highlight w:val="yellow"/>
          <w:lang w:val="en-US" w:eastAsia="zh-CN"/>
        </w:rPr>
        <w:t>高于评标基准价</w:t>
      </w:r>
      <w:r>
        <w:rPr>
          <w:rFonts w:hint="eastAsia" w:ascii="Times New Roman" w:hAnsi="Times New Roman" w:cs="Times New Roman"/>
          <w:bCs/>
          <w:color w:val="auto"/>
          <w:highlight w:val="yellow"/>
          <w:lang w:val="en-US" w:eastAsia="zh-CN"/>
        </w:rPr>
        <w:t>1%扣0.2</w:t>
      </w:r>
      <w:r>
        <w:rPr>
          <w:rFonts w:ascii="Times New Roman" w:hAnsi="Times New Roman" w:cs="Times New Roman"/>
          <w:bCs/>
          <w:color w:val="auto"/>
          <w:highlight w:val="yellow"/>
          <w:lang w:val="en-US" w:eastAsia="zh-CN"/>
        </w:rPr>
        <w:t>分，每低于评标基准价</w:t>
      </w:r>
      <w:r>
        <w:rPr>
          <w:rFonts w:hint="eastAsia" w:ascii="Times New Roman" w:hAnsi="Times New Roman" w:cs="Times New Roman"/>
          <w:bCs/>
          <w:color w:val="auto"/>
          <w:highlight w:val="yellow"/>
          <w:lang w:val="en-US" w:eastAsia="zh-CN"/>
        </w:rPr>
        <w:t>1%</w:t>
      </w:r>
      <w:r>
        <w:rPr>
          <w:rFonts w:ascii="Times New Roman" w:hAnsi="Times New Roman" w:cs="Times New Roman"/>
          <w:bCs/>
          <w:color w:val="auto"/>
          <w:highlight w:val="yellow"/>
          <w:lang w:val="en-US" w:eastAsia="zh-CN"/>
        </w:rPr>
        <w:t>个百分点</w:t>
      </w:r>
      <w:r>
        <w:rPr>
          <w:rFonts w:hint="eastAsia" w:ascii="Times New Roman" w:hAnsi="Times New Roman" w:cs="Times New Roman"/>
          <w:bCs/>
          <w:color w:val="auto"/>
          <w:highlight w:val="yellow"/>
          <w:lang w:val="en-US" w:eastAsia="zh-CN"/>
        </w:rPr>
        <w:t>扣0.1</w:t>
      </w:r>
      <w:r>
        <w:rPr>
          <w:rFonts w:ascii="Times New Roman" w:hAnsi="Times New Roman" w:cs="Times New Roman"/>
          <w:bCs/>
          <w:color w:val="auto"/>
          <w:highlight w:val="yellow"/>
          <w:lang w:val="en-US" w:eastAsia="zh-CN"/>
        </w:rPr>
        <w:t>分，</w:t>
      </w:r>
      <w:r>
        <w:rPr>
          <w:rFonts w:hint="eastAsia" w:ascii="Times New Roman" w:hAnsi="Times New Roman" w:cs="Times New Roman"/>
          <w:bCs/>
          <w:color w:val="auto"/>
          <w:highlight w:val="yellow"/>
          <w:lang w:val="en-US" w:eastAsia="zh-CN"/>
        </w:rPr>
        <w:t>采用内插法计算</w:t>
      </w:r>
      <w:r>
        <w:rPr>
          <w:rFonts w:ascii="Times New Roman" w:hAnsi="Times New Roman" w:cs="Times New Roman"/>
          <w:bCs/>
          <w:color w:val="auto"/>
          <w:highlight w:val="yellow"/>
          <w:lang w:val="en-US" w:eastAsia="zh-CN"/>
        </w:rPr>
        <w:t>，四舍五入</w:t>
      </w:r>
      <w:r>
        <w:rPr>
          <w:rFonts w:hint="eastAsia" w:ascii="Times New Roman" w:hAnsi="Times New Roman" w:cs="Times New Roman"/>
          <w:bCs/>
          <w:color w:val="auto"/>
          <w:highlight w:val="yellow"/>
          <w:lang w:val="en-US" w:eastAsia="zh-CN"/>
        </w:rPr>
        <w:t>，保留两位小数。</w:t>
      </w:r>
    </w:p>
    <w:bookmarkEnd w:id="25"/>
    <w:p w14:paraId="3DD42CE9">
      <w:pPr>
        <w:pStyle w:val="23"/>
        <w:spacing w:line="380" w:lineRule="exact"/>
        <w:ind w:firstLine="422"/>
        <w:rPr>
          <w:rFonts w:ascii="Times New Roman" w:hAnsi="Times New Roman" w:cs="Times New Roman"/>
          <w:b/>
          <w:bCs/>
          <w:color w:val="auto"/>
          <w:highlight w:val="none"/>
        </w:rPr>
      </w:pPr>
      <w:r>
        <w:rPr>
          <w:rFonts w:ascii="Times New Roman" w:hAnsi="Times New Roman" w:cs="Times New Roman"/>
          <w:b/>
          <w:bCs/>
          <w:color w:val="auto"/>
          <w:highlight w:val="none"/>
        </w:rPr>
        <w:t>2．</w:t>
      </w:r>
      <w:r>
        <w:rPr>
          <w:rFonts w:hint="eastAsia" w:ascii="Times New Roman" w:hAnsi="Times New Roman" w:cs="Times New Roman"/>
          <w:b/>
          <w:bCs/>
          <w:color w:val="auto"/>
          <w:highlight w:val="none"/>
          <w:lang w:val="en-US" w:eastAsia="zh-CN"/>
        </w:rPr>
        <w:t>方案</w:t>
      </w:r>
      <w:r>
        <w:rPr>
          <w:rFonts w:ascii="Times New Roman" w:hAnsi="Times New Roman" w:cs="Times New Roman"/>
          <w:b/>
          <w:bCs/>
          <w:color w:val="auto"/>
          <w:highlight w:val="none"/>
        </w:rPr>
        <w:t>分…………………………………………………………………………………</w:t>
      </w:r>
      <w:r>
        <w:rPr>
          <w:rFonts w:hint="eastAsia" w:ascii="Times New Roman" w:hAnsi="Times New Roman" w:cs="Times New Roman"/>
          <w:b/>
          <w:bCs/>
          <w:color w:val="auto"/>
          <w:highlight w:val="none"/>
          <w:lang w:val="en-US" w:eastAsia="zh-CN"/>
        </w:rPr>
        <w:t>30</w:t>
      </w:r>
      <w:r>
        <w:rPr>
          <w:rFonts w:ascii="Times New Roman" w:hAnsi="Times New Roman" w:cs="Times New Roman"/>
          <w:b/>
          <w:bCs/>
          <w:color w:val="auto"/>
          <w:highlight w:val="none"/>
        </w:rPr>
        <w:t>分</w:t>
      </w:r>
    </w:p>
    <w:p w14:paraId="589DA135">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lang w:val="en-US" w:eastAsia="zh-CN"/>
        </w:rPr>
        <w:t>（1）内容策划（</w:t>
      </w:r>
      <w:r>
        <w:rPr>
          <w:rFonts w:hint="eastAsia" w:ascii="Times New Roman" w:hAnsi="Times New Roman" w:eastAsia="宋体" w:cs="Times New Roman"/>
          <w:b/>
          <w:bCs w:val="0"/>
          <w:color w:val="auto"/>
          <w:szCs w:val="21"/>
          <w:highlight w:val="none"/>
          <w:lang w:val="en-US" w:eastAsia="zh-CN"/>
        </w:rPr>
        <w:t>满分</w:t>
      </w:r>
      <w:r>
        <w:rPr>
          <w:rFonts w:hint="eastAsia" w:cs="Times New Roman"/>
          <w:b/>
          <w:bCs w:val="0"/>
          <w:color w:val="auto"/>
          <w:szCs w:val="21"/>
          <w:highlight w:val="none"/>
          <w:lang w:val="en-US" w:eastAsia="zh-CN"/>
        </w:rPr>
        <w:t>10</w:t>
      </w:r>
      <w:r>
        <w:rPr>
          <w:rFonts w:hint="default" w:ascii="Times New Roman" w:hAnsi="Times New Roman" w:eastAsia="宋体" w:cs="Times New Roman"/>
          <w:b/>
          <w:bCs w:val="0"/>
          <w:color w:val="auto"/>
          <w:szCs w:val="21"/>
          <w:highlight w:val="none"/>
          <w:lang w:val="en-US" w:eastAsia="zh-CN"/>
        </w:rPr>
        <w:t>分）：​</w:t>
      </w:r>
    </w:p>
    <w:p w14:paraId="67E6D4BE">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一档：</w:t>
      </w:r>
      <w:r>
        <w:rPr>
          <w:rFonts w:hint="default" w:ascii="Times New Roman" w:hAnsi="Times New Roman" w:eastAsia="宋体" w:cs="Times New Roman"/>
          <w:bCs/>
          <w:color w:val="auto"/>
          <w:szCs w:val="21"/>
          <w:highlight w:val="none"/>
        </w:rPr>
        <w:t>对经贸中心宣传内容有独特创意，能结合目标受众特点制定丰富、多样且符合平台调性的内容规划得</w:t>
      </w:r>
      <w:r>
        <w:rPr>
          <w:rFonts w:hint="eastAsia" w:cs="Times New Roman"/>
          <w:bCs/>
          <w:color w:val="auto"/>
          <w:szCs w:val="21"/>
          <w:highlight w:val="none"/>
          <w:lang w:val="en-US" w:eastAsia="zh-CN"/>
        </w:rPr>
        <w:t>7-10</w:t>
      </w:r>
      <w:r>
        <w:rPr>
          <w:rFonts w:hint="default" w:ascii="Times New Roman" w:hAnsi="Times New Roman" w:eastAsia="宋体" w:cs="Times New Roman"/>
          <w:bCs/>
          <w:color w:val="auto"/>
          <w:szCs w:val="21"/>
          <w:highlight w:val="none"/>
        </w:rPr>
        <w:t>分；​</w:t>
      </w:r>
    </w:p>
    <w:p w14:paraId="7B2F10E5">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二档：</w:t>
      </w:r>
      <w:r>
        <w:rPr>
          <w:rFonts w:hint="default" w:ascii="Times New Roman" w:hAnsi="Times New Roman" w:eastAsia="宋体" w:cs="Times New Roman"/>
          <w:bCs/>
          <w:color w:val="auto"/>
          <w:szCs w:val="21"/>
          <w:highlight w:val="none"/>
        </w:rPr>
        <w:t>内容规划较合理，但创新性不足得</w:t>
      </w:r>
      <w:r>
        <w:rPr>
          <w:rFonts w:hint="eastAsia" w:cs="Times New Roman"/>
          <w:bCs/>
          <w:color w:val="auto"/>
          <w:szCs w:val="21"/>
          <w:highlight w:val="none"/>
          <w:lang w:val="en-US" w:eastAsia="zh-CN"/>
        </w:rPr>
        <w:t>4</w:t>
      </w:r>
      <w:r>
        <w:rPr>
          <w:rFonts w:hint="default" w:ascii="Times New Roman" w:hAnsi="Times New Roman" w:eastAsia="宋体" w:cs="Times New Roman"/>
          <w:bCs/>
          <w:color w:val="auto"/>
          <w:szCs w:val="21"/>
          <w:highlight w:val="none"/>
        </w:rPr>
        <w:t xml:space="preserve"> -</w:t>
      </w:r>
      <w:r>
        <w:rPr>
          <w:rFonts w:hint="eastAsia" w:cs="Times New Roman"/>
          <w:bCs/>
          <w:color w:val="auto"/>
          <w:szCs w:val="21"/>
          <w:highlight w:val="none"/>
          <w:lang w:val="en-US" w:eastAsia="zh-CN"/>
        </w:rPr>
        <w:t>6</w:t>
      </w:r>
      <w:r>
        <w:rPr>
          <w:rFonts w:hint="default" w:ascii="Times New Roman" w:hAnsi="Times New Roman" w:eastAsia="宋体" w:cs="Times New Roman"/>
          <w:bCs/>
          <w:color w:val="auto"/>
          <w:szCs w:val="21"/>
          <w:highlight w:val="none"/>
        </w:rPr>
        <w:t>分；​</w:t>
      </w:r>
    </w:p>
    <w:p w14:paraId="2CCF4F21">
      <w:pPr>
        <w:keepNext w:val="0"/>
        <w:keepLines w:val="0"/>
        <w:pageBreakBefore w:val="0"/>
        <w:widowControl w:val="0"/>
        <w:kinsoku/>
        <w:wordWrap/>
        <w:overflowPunct/>
        <w:topLinePunct w:val="0"/>
        <w:bidi w:val="0"/>
        <w:adjustRightInd/>
        <w:snapToGrid/>
        <w:spacing w:line="380" w:lineRule="exact"/>
        <w:ind w:firstLine="480"/>
        <w:textAlignment w:val="auto"/>
        <w:rPr>
          <w:rFonts w:hint="eastAsia" w:ascii="Times New Roman" w:hAnsi="Times New Roman" w:eastAsia="宋体" w:cs="Times New Roman"/>
          <w:bCs/>
          <w:color w:val="auto"/>
          <w:szCs w:val="21"/>
          <w:highlight w:val="none"/>
          <w:lang w:eastAsia="zh-CN"/>
        </w:rPr>
      </w:pPr>
      <w:r>
        <w:rPr>
          <w:rFonts w:hint="eastAsia" w:ascii="Times New Roman" w:hAnsi="Times New Roman" w:eastAsia="宋体" w:cs="Times New Roman"/>
          <w:bCs/>
          <w:color w:val="auto"/>
          <w:szCs w:val="21"/>
          <w:highlight w:val="none"/>
          <w:lang w:val="en-US" w:eastAsia="zh-CN"/>
        </w:rPr>
        <w:t>三档：</w:t>
      </w:r>
      <w:r>
        <w:rPr>
          <w:rFonts w:hint="default" w:ascii="Times New Roman" w:hAnsi="Times New Roman" w:eastAsia="宋体" w:cs="Times New Roman"/>
          <w:bCs/>
          <w:color w:val="auto"/>
          <w:szCs w:val="21"/>
          <w:highlight w:val="none"/>
        </w:rPr>
        <w:t>内容规划不合理，缺乏针对性得0 -</w:t>
      </w:r>
      <w:r>
        <w:rPr>
          <w:rFonts w:hint="eastAsia" w:cs="Times New Roman"/>
          <w:bCs/>
          <w:color w:val="auto"/>
          <w:szCs w:val="21"/>
          <w:highlight w:val="none"/>
          <w:lang w:val="en-US" w:eastAsia="zh-CN"/>
        </w:rPr>
        <w:t>3</w:t>
      </w:r>
      <w:r>
        <w:rPr>
          <w:rFonts w:hint="default" w:ascii="Times New Roman" w:hAnsi="Times New Roman" w:eastAsia="宋体" w:cs="Times New Roman"/>
          <w:bCs/>
          <w:color w:val="auto"/>
          <w:szCs w:val="21"/>
          <w:highlight w:val="none"/>
        </w:rPr>
        <w:t>分</w:t>
      </w:r>
      <w:r>
        <w:rPr>
          <w:rFonts w:hint="eastAsia" w:cs="Times New Roman"/>
          <w:bCs/>
          <w:color w:val="auto"/>
          <w:szCs w:val="21"/>
          <w:highlight w:val="none"/>
          <w:lang w:eastAsia="zh-CN"/>
        </w:rPr>
        <w:t>；</w:t>
      </w:r>
    </w:p>
    <w:p w14:paraId="45431177">
      <w:pPr>
        <w:keepNext w:val="0"/>
        <w:keepLines w:val="0"/>
        <w:pageBreakBefore w:val="0"/>
        <w:widowControl w:val="0"/>
        <w:kinsoku/>
        <w:wordWrap/>
        <w:overflowPunct/>
        <w:topLinePunct w:val="0"/>
        <w:bidi w:val="0"/>
        <w:adjustRightInd/>
        <w:snapToGrid/>
        <w:spacing w:line="380" w:lineRule="exact"/>
        <w:ind w:firstLine="480"/>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lang w:val="en-US" w:eastAsia="zh-CN"/>
        </w:rPr>
        <w:t>（2）运营策略（</w:t>
      </w:r>
      <w:r>
        <w:rPr>
          <w:rFonts w:hint="eastAsia" w:ascii="Times New Roman" w:hAnsi="Times New Roman" w:eastAsia="宋体" w:cs="Times New Roman"/>
          <w:b/>
          <w:bCs w:val="0"/>
          <w:color w:val="auto"/>
          <w:szCs w:val="21"/>
          <w:highlight w:val="none"/>
          <w:lang w:val="en-US" w:eastAsia="zh-CN"/>
        </w:rPr>
        <w:t>满分</w:t>
      </w:r>
      <w:r>
        <w:rPr>
          <w:rFonts w:hint="eastAsia" w:cs="Times New Roman"/>
          <w:b/>
          <w:bCs w:val="0"/>
          <w:color w:val="auto"/>
          <w:szCs w:val="21"/>
          <w:highlight w:val="none"/>
          <w:lang w:val="en-US" w:eastAsia="zh-CN"/>
        </w:rPr>
        <w:t>10</w:t>
      </w:r>
      <w:r>
        <w:rPr>
          <w:rFonts w:hint="default" w:ascii="Times New Roman" w:hAnsi="Times New Roman" w:eastAsia="宋体" w:cs="Times New Roman"/>
          <w:b/>
          <w:bCs w:val="0"/>
          <w:color w:val="auto"/>
          <w:szCs w:val="21"/>
          <w:highlight w:val="none"/>
          <w:lang w:val="en-US" w:eastAsia="zh-CN"/>
        </w:rPr>
        <w:t>分）：​</w:t>
      </w:r>
    </w:p>
    <w:p w14:paraId="310EDF8C">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一档：</w:t>
      </w:r>
      <w:r>
        <w:rPr>
          <w:rFonts w:hint="default" w:ascii="Times New Roman" w:hAnsi="Times New Roman" w:eastAsia="宋体" w:cs="Times New Roman"/>
          <w:bCs/>
          <w:color w:val="auto"/>
          <w:szCs w:val="21"/>
          <w:highlight w:val="none"/>
        </w:rPr>
        <w:t>制定的运营策略全面、可行，涵盖视频制作、投放时间、投流计划、粉丝互动等方面，且有详细执行步骤得</w:t>
      </w:r>
      <w:r>
        <w:rPr>
          <w:rFonts w:hint="eastAsia" w:cs="Times New Roman"/>
          <w:bCs/>
          <w:color w:val="auto"/>
          <w:szCs w:val="21"/>
          <w:highlight w:val="none"/>
          <w:lang w:val="en-US" w:eastAsia="zh-CN"/>
        </w:rPr>
        <w:t>7-10</w:t>
      </w:r>
      <w:r>
        <w:rPr>
          <w:rFonts w:hint="default" w:ascii="Times New Roman" w:hAnsi="Times New Roman" w:eastAsia="宋体" w:cs="Times New Roman"/>
          <w:bCs/>
          <w:color w:val="auto"/>
          <w:szCs w:val="21"/>
          <w:highlight w:val="none"/>
        </w:rPr>
        <w:t>分；​</w:t>
      </w:r>
    </w:p>
    <w:p w14:paraId="54B36654">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二档：</w:t>
      </w:r>
      <w:r>
        <w:rPr>
          <w:rFonts w:hint="default" w:ascii="Times New Roman" w:hAnsi="Times New Roman" w:eastAsia="宋体" w:cs="Times New Roman"/>
          <w:bCs/>
          <w:color w:val="auto"/>
          <w:szCs w:val="21"/>
          <w:highlight w:val="none"/>
        </w:rPr>
        <w:t>运营策略基本可行，但不够完善得</w:t>
      </w:r>
      <w:r>
        <w:rPr>
          <w:rFonts w:hint="eastAsia" w:cs="Times New Roman"/>
          <w:bCs/>
          <w:color w:val="auto"/>
          <w:szCs w:val="21"/>
          <w:highlight w:val="none"/>
          <w:lang w:val="en-US" w:eastAsia="zh-CN"/>
        </w:rPr>
        <w:t>4</w:t>
      </w:r>
      <w:r>
        <w:rPr>
          <w:rFonts w:hint="default" w:ascii="Times New Roman" w:hAnsi="Times New Roman" w:eastAsia="宋体" w:cs="Times New Roman"/>
          <w:bCs/>
          <w:color w:val="auto"/>
          <w:szCs w:val="21"/>
          <w:highlight w:val="none"/>
        </w:rPr>
        <w:t xml:space="preserve"> -</w:t>
      </w:r>
      <w:r>
        <w:rPr>
          <w:rFonts w:hint="eastAsia" w:cs="Times New Roman"/>
          <w:bCs/>
          <w:color w:val="auto"/>
          <w:szCs w:val="21"/>
          <w:highlight w:val="none"/>
          <w:lang w:val="en-US" w:eastAsia="zh-CN"/>
        </w:rPr>
        <w:t>6</w:t>
      </w:r>
      <w:r>
        <w:rPr>
          <w:rFonts w:hint="default" w:ascii="Times New Roman" w:hAnsi="Times New Roman" w:eastAsia="宋体" w:cs="Times New Roman"/>
          <w:bCs/>
          <w:color w:val="auto"/>
          <w:szCs w:val="21"/>
          <w:highlight w:val="none"/>
        </w:rPr>
        <w:t>分；​</w:t>
      </w:r>
    </w:p>
    <w:p w14:paraId="12E0CE24">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三档：</w:t>
      </w:r>
      <w:r>
        <w:rPr>
          <w:rFonts w:hint="default" w:ascii="Times New Roman" w:hAnsi="Times New Roman" w:eastAsia="宋体" w:cs="Times New Roman"/>
          <w:bCs/>
          <w:color w:val="auto"/>
          <w:szCs w:val="21"/>
          <w:highlight w:val="none"/>
        </w:rPr>
        <w:t>运营策略不可行，缺乏关键环节得0 -</w:t>
      </w:r>
      <w:r>
        <w:rPr>
          <w:rFonts w:hint="eastAsia" w:cs="Times New Roman"/>
          <w:bCs/>
          <w:color w:val="auto"/>
          <w:szCs w:val="21"/>
          <w:highlight w:val="none"/>
          <w:lang w:val="en-US" w:eastAsia="zh-CN"/>
        </w:rPr>
        <w:t>3</w:t>
      </w:r>
      <w:r>
        <w:rPr>
          <w:rFonts w:hint="default" w:ascii="Times New Roman" w:hAnsi="Times New Roman" w:eastAsia="宋体" w:cs="Times New Roman"/>
          <w:bCs/>
          <w:color w:val="auto"/>
          <w:szCs w:val="21"/>
          <w:highlight w:val="none"/>
        </w:rPr>
        <w:t>分</w:t>
      </w:r>
      <w:r>
        <w:rPr>
          <w:rFonts w:hint="eastAsia" w:cs="Times New Roman"/>
          <w:bCs/>
          <w:color w:val="auto"/>
          <w:szCs w:val="21"/>
          <w:highlight w:val="none"/>
          <w:lang w:eastAsia="zh-CN"/>
        </w:rPr>
        <w:t>；</w:t>
      </w:r>
      <w:r>
        <w:rPr>
          <w:rFonts w:hint="default" w:ascii="Times New Roman" w:hAnsi="Times New Roman" w:eastAsia="宋体" w:cs="Times New Roman"/>
          <w:bCs/>
          <w:color w:val="auto"/>
          <w:szCs w:val="21"/>
          <w:highlight w:val="none"/>
        </w:rPr>
        <w:t>​</w:t>
      </w:r>
    </w:p>
    <w:p w14:paraId="7DDEF968">
      <w:pPr>
        <w:keepNext w:val="0"/>
        <w:keepLines w:val="0"/>
        <w:pageBreakBefore w:val="0"/>
        <w:widowControl w:val="0"/>
        <w:kinsoku/>
        <w:wordWrap/>
        <w:overflowPunct/>
        <w:topLinePunct w:val="0"/>
        <w:bidi w:val="0"/>
        <w:adjustRightInd/>
        <w:snapToGrid/>
        <w:spacing w:line="380" w:lineRule="exact"/>
        <w:ind w:firstLine="480"/>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bCs w:val="0"/>
          <w:color w:val="auto"/>
          <w:szCs w:val="21"/>
          <w:highlight w:val="none"/>
          <w:lang w:val="en-US" w:eastAsia="zh-CN"/>
        </w:rPr>
        <w:t>（3）风险应对（</w:t>
      </w:r>
      <w:r>
        <w:rPr>
          <w:rFonts w:hint="eastAsia" w:cs="Times New Roman"/>
          <w:b/>
          <w:bCs w:val="0"/>
          <w:color w:val="auto"/>
          <w:szCs w:val="21"/>
          <w:highlight w:val="none"/>
          <w:lang w:val="en-US" w:eastAsia="zh-CN"/>
        </w:rPr>
        <w:t>5</w:t>
      </w:r>
      <w:r>
        <w:rPr>
          <w:rFonts w:hint="default" w:ascii="Times New Roman" w:hAnsi="Times New Roman" w:eastAsia="宋体" w:cs="Times New Roman"/>
          <w:b/>
          <w:bCs w:val="0"/>
          <w:color w:val="auto"/>
          <w:szCs w:val="21"/>
          <w:highlight w:val="none"/>
          <w:lang w:val="en-US" w:eastAsia="zh-CN"/>
        </w:rPr>
        <w:t xml:space="preserve"> 分）</w:t>
      </w:r>
      <w:r>
        <w:rPr>
          <w:rFonts w:hint="default" w:ascii="Times New Roman" w:hAnsi="Times New Roman" w:eastAsia="宋体" w:cs="Times New Roman"/>
          <w:bCs/>
          <w:color w:val="auto"/>
          <w:szCs w:val="21"/>
          <w:highlight w:val="none"/>
          <w:lang w:val="en-US" w:eastAsia="zh-CN"/>
        </w:rPr>
        <w:t>：​</w:t>
      </w:r>
    </w:p>
    <w:p w14:paraId="128AFEDF">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一档：</w:t>
      </w:r>
      <w:r>
        <w:rPr>
          <w:rFonts w:hint="default" w:ascii="Times New Roman" w:hAnsi="Times New Roman" w:eastAsia="宋体" w:cs="Times New Roman"/>
          <w:bCs/>
          <w:color w:val="auto"/>
          <w:szCs w:val="21"/>
          <w:highlight w:val="none"/>
        </w:rPr>
        <w:t>对可能出现的舆情风险、数据安全风险等有清晰的分析，并制定了切实有效的应对措施得3-</w:t>
      </w:r>
      <w:r>
        <w:rPr>
          <w:rFonts w:hint="eastAsia" w:cs="Times New Roman"/>
          <w:bCs/>
          <w:color w:val="auto"/>
          <w:szCs w:val="21"/>
          <w:highlight w:val="none"/>
          <w:lang w:val="en-US" w:eastAsia="zh-CN"/>
        </w:rPr>
        <w:t>5</w:t>
      </w:r>
      <w:r>
        <w:rPr>
          <w:rFonts w:hint="default" w:ascii="Times New Roman" w:hAnsi="Times New Roman" w:eastAsia="宋体" w:cs="Times New Roman"/>
          <w:bCs/>
          <w:color w:val="auto"/>
          <w:szCs w:val="21"/>
          <w:highlight w:val="none"/>
        </w:rPr>
        <w:t>分；​</w:t>
      </w:r>
    </w:p>
    <w:p w14:paraId="2A7A5932">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二档：</w:t>
      </w:r>
      <w:r>
        <w:rPr>
          <w:rFonts w:hint="default" w:ascii="Times New Roman" w:hAnsi="Times New Roman" w:eastAsia="宋体" w:cs="Times New Roman"/>
          <w:bCs/>
          <w:color w:val="auto"/>
          <w:szCs w:val="21"/>
          <w:highlight w:val="none"/>
        </w:rPr>
        <w:t xml:space="preserve">有风险分析和应对措施，但不够全面得 </w:t>
      </w:r>
      <w:r>
        <w:rPr>
          <w:rFonts w:hint="eastAsia" w:ascii="Times New Roman" w:hAnsi="Times New Roman" w:eastAsia="宋体" w:cs="Times New Roman"/>
          <w:bCs/>
          <w:color w:val="auto"/>
          <w:szCs w:val="21"/>
          <w:highlight w:val="none"/>
          <w:lang w:val="en-US" w:eastAsia="zh-CN"/>
        </w:rPr>
        <w:t>1</w:t>
      </w:r>
      <w:r>
        <w:rPr>
          <w:rFonts w:hint="default" w:ascii="Times New Roman" w:hAnsi="Times New Roman" w:eastAsia="宋体" w:cs="Times New Roman"/>
          <w:bCs/>
          <w:color w:val="auto"/>
          <w:szCs w:val="21"/>
          <w:highlight w:val="none"/>
        </w:rPr>
        <w:t>-2分；​</w:t>
      </w:r>
    </w:p>
    <w:p w14:paraId="40E5A486">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三档：</w:t>
      </w:r>
      <w:r>
        <w:rPr>
          <w:rFonts w:hint="default" w:ascii="Times New Roman" w:hAnsi="Times New Roman" w:eastAsia="宋体" w:cs="Times New Roman"/>
          <w:bCs/>
          <w:color w:val="auto"/>
          <w:szCs w:val="21"/>
          <w:highlight w:val="none"/>
        </w:rPr>
        <w:t>未提及风险应对机制得0分​</w:t>
      </w:r>
    </w:p>
    <w:p w14:paraId="460D6DFB">
      <w:pPr>
        <w:keepNext w:val="0"/>
        <w:keepLines w:val="0"/>
        <w:pageBreakBefore w:val="0"/>
        <w:widowControl w:val="0"/>
        <w:kinsoku/>
        <w:wordWrap/>
        <w:overflowPunct/>
        <w:topLinePunct w:val="0"/>
        <w:bidi w:val="0"/>
        <w:adjustRightInd/>
        <w:snapToGrid/>
        <w:spacing w:line="380" w:lineRule="exact"/>
        <w:ind w:firstLine="480"/>
        <w:textAlignment w:val="auto"/>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
          <w:bCs w:val="0"/>
          <w:color w:val="auto"/>
          <w:szCs w:val="21"/>
          <w:highlight w:val="none"/>
          <w:lang w:val="en-US" w:eastAsia="zh-CN"/>
        </w:rPr>
        <w:t>（4）复盘机制（</w:t>
      </w:r>
      <w:r>
        <w:rPr>
          <w:rFonts w:hint="eastAsia" w:cs="Times New Roman"/>
          <w:b/>
          <w:bCs w:val="0"/>
          <w:color w:val="auto"/>
          <w:szCs w:val="21"/>
          <w:highlight w:val="none"/>
          <w:lang w:val="en-US" w:eastAsia="zh-CN"/>
        </w:rPr>
        <w:t>5</w:t>
      </w:r>
      <w:r>
        <w:rPr>
          <w:rFonts w:hint="default" w:ascii="Times New Roman" w:hAnsi="Times New Roman" w:eastAsia="宋体" w:cs="Times New Roman"/>
          <w:b/>
          <w:bCs w:val="0"/>
          <w:color w:val="auto"/>
          <w:szCs w:val="21"/>
          <w:highlight w:val="none"/>
          <w:lang w:val="en-US" w:eastAsia="zh-CN"/>
        </w:rPr>
        <w:t>分）：</w:t>
      </w:r>
      <w:r>
        <w:rPr>
          <w:rFonts w:hint="default" w:ascii="Times New Roman" w:hAnsi="Times New Roman" w:eastAsia="宋体" w:cs="Times New Roman"/>
          <w:bCs/>
          <w:color w:val="auto"/>
          <w:szCs w:val="21"/>
          <w:highlight w:val="none"/>
          <w:lang w:val="en-US" w:eastAsia="zh-CN"/>
        </w:rPr>
        <w:t>​</w:t>
      </w:r>
    </w:p>
    <w:p w14:paraId="10884B87">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一档：</w:t>
      </w:r>
      <w:r>
        <w:rPr>
          <w:rFonts w:hint="default" w:ascii="Times New Roman" w:hAnsi="Times New Roman" w:eastAsia="宋体" w:cs="Times New Roman"/>
          <w:bCs/>
          <w:color w:val="auto"/>
          <w:szCs w:val="21"/>
          <w:highlight w:val="none"/>
        </w:rPr>
        <w:t xml:space="preserve">复盘机制科学合理，能定期对运营方向、流量、曝光度、负面反馈等进行有效复盘，并根据复盘结果提出优化方案得 </w:t>
      </w:r>
      <w:r>
        <w:rPr>
          <w:rFonts w:hint="eastAsia" w:cs="Times New Roman"/>
          <w:bCs/>
          <w:color w:val="auto"/>
          <w:szCs w:val="21"/>
          <w:highlight w:val="none"/>
          <w:lang w:val="en-US" w:eastAsia="zh-CN"/>
        </w:rPr>
        <w:t>3-5</w:t>
      </w:r>
      <w:r>
        <w:rPr>
          <w:rFonts w:hint="default" w:ascii="Times New Roman" w:hAnsi="Times New Roman" w:eastAsia="宋体" w:cs="Times New Roman"/>
          <w:bCs/>
          <w:color w:val="auto"/>
          <w:szCs w:val="21"/>
          <w:highlight w:val="none"/>
        </w:rPr>
        <w:t xml:space="preserve"> 分；​</w:t>
      </w:r>
    </w:p>
    <w:p w14:paraId="62FBD07B">
      <w:pPr>
        <w:keepNext w:val="0"/>
        <w:keepLines w:val="0"/>
        <w:pageBreakBefore w:val="0"/>
        <w:widowControl w:val="0"/>
        <w:kinsoku/>
        <w:wordWrap/>
        <w:overflowPunct/>
        <w:topLinePunct w:val="0"/>
        <w:bidi w:val="0"/>
        <w:adjustRightInd/>
        <w:snapToGrid/>
        <w:spacing w:line="380" w:lineRule="exact"/>
        <w:ind w:firstLine="480"/>
        <w:textAlignment w:val="auto"/>
        <w:rPr>
          <w:rFonts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二档：</w:t>
      </w:r>
      <w:r>
        <w:rPr>
          <w:rFonts w:hint="default" w:ascii="Times New Roman" w:hAnsi="Times New Roman" w:eastAsia="宋体" w:cs="Times New Roman"/>
          <w:bCs/>
          <w:color w:val="auto"/>
          <w:szCs w:val="21"/>
          <w:highlight w:val="none"/>
        </w:rPr>
        <w:t xml:space="preserve">复盘机制基本合理，但优化方案不够具体得 1 - </w:t>
      </w:r>
      <w:r>
        <w:rPr>
          <w:rFonts w:hint="eastAsia" w:cs="Times New Roman"/>
          <w:bCs/>
          <w:color w:val="auto"/>
          <w:szCs w:val="21"/>
          <w:highlight w:val="none"/>
          <w:lang w:val="en-US" w:eastAsia="zh-CN"/>
        </w:rPr>
        <w:t>2</w:t>
      </w:r>
      <w:r>
        <w:rPr>
          <w:rFonts w:hint="default" w:ascii="Times New Roman" w:hAnsi="Times New Roman" w:eastAsia="宋体" w:cs="Times New Roman"/>
          <w:bCs/>
          <w:color w:val="auto"/>
          <w:szCs w:val="21"/>
          <w:highlight w:val="none"/>
        </w:rPr>
        <w:t xml:space="preserve"> 分；​</w:t>
      </w:r>
    </w:p>
    <w:p w14:paraId="14B64803">
      <w:pPr>
        <w:keepNext w:val="0"/>
        <w:keepLines w:val="0"/>
        <w:pageBreakBefore w:val="0"/>
        <w:widowControl w:val="0"/>
        <w:kinsoku/>
        <w:wordWrap/>
        <w:overflowPunct/>
        <w:topLinePunct w:val="0"/>
        <w:bidi w:val="0"/>
        <w:adjustRightInd/>
        <w:snapToGrid/>
        <w:spacing w:line="380" w:lineRule="exact"/>
        <w:ind w:firstLine="480"/>
        <w:textAlignment w:val="auto"/>
        <w:rPr>
          <w:rFonts w:hint="default" w:ascii="Times New Roman" w:hAnsi="Times New Roman" w:eastAsia="宋体" w:cs="Times New Roman"/>
          <w:bCs/>
          <w:color w:val="auto"/>
          <w:szCs w:val="21"/>
          <w:highlight w:val="none"/>
        </w:rPr>
      </w:pPr>
      <w:r>
        <w:rPr>
          <w:rFonts w:hint="eastAsia" w:ascii="Times New Roman" w:hAnsi="Times New Roman" w:eastAsia="宋体" w:cs="Times New Roman"/>
          <w:bCs/>
          <w:color w:val="auto"/>
          <w:szCs w:val="21"/>
          <w:highlight w:val="none"/>
          <w:lang w:val="en-US" w:eastAsia="zh-CN"/>
        </w:rPr>
        <w:t>三档：</w:t>
      </w:r>
      <w:r>
        <w:rPr>
          <w:rFonts w:hint="default" w:ascii="Times New Roman" w:hAnsi="Times New Roman" w:eastAsia="宋体" w:cs="Times New Roman"/>
          <w:bCs/>
          <w:color w:val="auto"/>
          <w:szCs w:val="21"/>
          <w:highlight w:val="none"/>
        </w:rPr>
        <w:t>复盘机制不合理或未提及得 0 分</w:t>
      </w:r>
    </w:p>
    <w:p w14:paraId="43900A6A">
      <w:pPr>
        <w:pStyle w:val="23"/>
        <w:spacing w:line="380" w:lineRule="exact"/>
        <w:ind w:firstLine="422" w:firstLineChars="200"/>
        <w:rPr>
          <w:rFonts w:ascii="Times New Roman" w:hAnsi="Times New Roman" w:cs="Times New Roman"/>
          <w:b/>
          <w:bCs/>
          <w:color w:val="auto"/>
          <w:highlight w:val="none"/>
        </w:rPr>
      </w:pPr>
      <w:r>
        <w:rPr>
          <w:rFonts w:ascii="Times New Roman" w:hAnsi="Times New Roman" w:cs="Times New Roman"/>
          <w:b/>
          <w:bCs/>
          <w:color w:val="auto"/>
          <w:highlight w:val="none"/>
        </w:rPr>
        <w:t>3．</w:t>
      </w:r>
      <w:r>
        <w:rPr>
          <w:rFonts w:hint="eastAsia" w:ascii="Times New Roman" w:hAnsi="Times New Roman" w:cs="Times New Roman"/>
          <w:b/>
          <w:bCs/>
          <w:color w:val="auto"/>
          <w:highlight w:val="none"/>
          <w:lang w:val="en-US" w:eastAsia="zh-CN"/>
        </w:rPr>
        <w:t>业绩与资历</w:t>
      </w:r>
      <w:r>
        <w:rPr>
          <w:rFonts w:ascii="Times New Roman" w:hAnsi="Times New Roman" w:cs="Times New Roman"/>
          <w:b/>
          <w:bCs/>
          <w:color w:val="auto"/>
          <w:highlight w:val="none"/>
        </w:rPr>
        <w:t>分…………………………………………………………………………</w:t>
      </w:r>
      <w:r>
        <w:rPr>
          <w:rFonts w:hint="eastAsia" w:ascii="Times New Roman" w:hAnsi="Times New Roman" w:cs="Times New Roman"/>
          <w:b/>
          <w:bCs/>
          <w:color w:val="auto"/>
          <w:highlight w:val="none"/>
          <w:lang w:val="en-US" w:eastAsia="zh-CN"/>
        </w:rPr>
        <w:t>35</w:t>
      </w:r>
      <w:r>
        <w:rPr>
          <w:rFonts w:ascii="Times New Roman" w:hAnsi="Times New Roman" w:cs="Times New Roman"/>
          <w:b/>
          <w:bCs/>
          <w:color w:val="auto"/>
          <w:highlight w:val="none"/>
        </w:rPr>
        <w:t>分</w:t>
      </w:r>
    </w:p>
    <w:p w14:paraId="6BD3C6B5">
      <w:pPr>
        <w:pStyle w:val="68"/>
        <w:tabs>
          <w:tab w:val="left" w:pos="1165"/>
        </w:tabs>
        <w:spacing w:line="380" w:lineRule="exact"/>
        <w:rPr>
          <w:rFonts w:ascii="Times New Roman" w:hAnsi="Times New Roman" w:eastAsia="宋体" w:cs="Times New Roman"/>
          <w:bCs/>
          <w:color w:val="auto"/>
          <w:szCs w:val="21"/>
          <w:highlight w:val="none"/>
        </w:rPr>
      </w:pPr>
      <w:r>
        <w:rPr>
          <w:rFonts w:hint="default" w:ascii="Times New Roman" w:hAnsi="Times New Roman" w:eastAsia="宋体" w:cs="Times New Roman"/>
          <w:b/>
          <w:bCs w:val="0"/>
          <w:color w:val="auto"/>
          <w:szCs w:val="21"/>
          <w:highlight w:val="none"/>
          <w:lang w:val="en-US" w:eastAsia="zh-CN"/>
        </w:rPr>
        <w:t>（1）案例数量（</w:t>
      </w:r>
      <w:r>
        <w:rPr>
          <w:rFonts w:hint="eastAsia" w:ascii="Times New Roman" w:hAnsi="Times New Roman" w:eastAsia="宋体" w:cs="Times New Roman"/>
          <w:b/>
          <w:bCs w:val="0"/>
          <w:color w:val="auto"/>
          <w:szCs w:val="21"/>
          <w:highlight w:val="none"/>
          <w:lang w:val="en-US" w:eastAsia="zh-CN"/>
        </w:rPr>
        <w:t>满分</w:t>
      </w:r>
      <w:r>
        <w:rPr>
          <w:rFonts w:hint="eastAsia" w:cs="Times New Roman"/>
          <w:b/>
          <w:bCs w:val="0"/>
          <w:color w:val="auto"/>
          <w:szCs w:val="21"/>
          <w:highlight w:val="none"/>
          <w:lang w:val="en-US" w:eastAsia="zh-CN"/>
        </w:rPr>
        <w:t>5</w:t>
      </w:r>
      <w:r>
        <w:rPr>
          <w:rFonts w:hint="default" w:ascii="Times New Roman" w:hAnsi="Times New Roman" w:eastAsia="宋体" w:cs="Times New Roman"/>
          <w:b/>
          <w:bCs w:val="0"/>
          <w:color w:val="auto"/>
          <w:szCs w:val="21"/>
          <w:highlight w:val="none"/>
          <w:lang w:val="en-US" w:eastAsia="zh-CN"/>
        </w:rPr>
        <w:t xml:space="preserve"> 分）</w:t>
      </w:r>
      <w:r>
        <w:rPr>
          <w:rFonts w:hint="default" w:ascii="Times New Roman" w:hAnsi="Times New Roman" w:eastAsia="宋体" w:cs="Times New Roman"/>
          <w:bCs/>
          <w:color w:val="auto"/>
          <w:szCs w:val="21"/>
          <w:highlight w:val="none"/>
          <w:lang w:val="en-US" w:eastAsia="zh-CN"/>
        </w:rPr>
        <w:t>：</w:t>
      </w:r>
    </w:p>
    <w:p w14:paraId="16FB713F">
      <w:pPr>
        <w:pStyle w:val="68"/>
        <w:tabs>
          <w:tab w:val="left" w:pos="1165"/>
        </w:tabs>
        <w:spacing w:line="380" w:lineRule="exact"/>
        <w:rPr>
          <w:rFonts w:hint="eastAsia"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每提供 1 个服务政府机构、国央企、经贸组织、涉外企业</w:t>
      </w:r>
      <w:r>
        <w:rPr>
          <w:rFonts w:hint="eastAsia" w:ascii="Times New Roman" w:hAnsi="Times New Roman" w:eastAsia="宋体" w:cs="Times New Roman"/>
          <w:bCs/>
          <w:color w:val="auto"/>
          <w:szCs w:val="21"/>
          <w:highlight w:val="none"/>
          <w:lang w:eastAsia="zh-CN"/>
        </w:rPr>
        <w:t>、</w:t>
      </w:r>
      <w:r>
        <w:rPr>
          <w:rFonts w:hint="eastAsia" w:ascii="Times New Roman" w:hAnsi="Times New Roman" w:eastAsia="宋体" w:cs="Times New Roman"/>
          <w:bCs/>
          <w:color w:val="auto"/>
          <w:szCs w:val="21"/>
          <w:highlight w:val="none"/>
          <w:lang w:val="en-US" w:eastAsia="zh-CN"/>
        </w:rPr>
        <w:t>大型国、央企、事业单位、大型企业、</w:t>
      </w:r>
      <w:r>
        <w:rPr>
          <w:rFonts w:hint="default" w:ascii="Times New Roman" w:hAnsi="Times New Roman" w:eastAsia="宋体" w:cs="Times New Roman"/>
          <w:bCs/>
          <w:color w:val="auto"/>
          <w:szCs w:val="21"/>
          <w:highlight w:val="none"/>
        </w:rPr>
        <w:t>个人 IP 的案例（需提供合同</w:t>
      </w:r>
      <w:r>
        <w:rPr>
          <w:rFonts w:hint="eastAsia" w:cs="Times New Roman"/>
          <w:bCs/>
          <w:color w:val="auto"/>
          <w:szCs w:val="21"/>
          <w:highlight w:val="none"/>
          <w:lang w:val="en-US" w:eastAsia="zh-CN"/>
        </w:rPr>
        <w:t>或个人IP后台</w:t>
      </w:r>
      <w:r>
        <w:rPr>
          <w:rFonts w:hint="default" w:ascii="Times New Roman" w:hAnsi="Times New Roman" w:eastAsia="宋体" w:cs="Times New Roman"/>
          <w:bCs/>
          <w:color w:val="auto"/>
          <w:szCs w:val="21"/>
          <w:highlight w:val="none"/>
        </w:rPr>
        <w:t>数据报告</w:t>
      </w:r>
      <w:r>
        <w:rPr>
          <w:rFonts w:hint="eastAsia" w:cs="Times New Roman"/>
          <w:bCs/>
          <w:color w:val="auto"/>
          <w:szCs w:val="21"/>
          <w:highlight w:val="none"/>
          <w:lang w:val="en-US" w:eastAsia="zh-CN"/>
        </w:rPr>
        <w:t>佐证</w:t>
      </w:r>
      <w:r>
        <w:rPr>
          <w:rFonts w:hint="default" w:ascii="Times New Roman" w:hAnsi="Times New Roman" w:eastAsia="宋体" w:cs="Times New Roman"/>
          <w:bCs/>
          <w:color w:val="auto"/>
          <w:szCs w:val="21"/>
          <w:highlight w:val="none"/>
        </w:rPr>
        <w:t>）</w:t>
      </w:r>
      <w:r>
        <w:rPr>
          <w:rFonts w:hint="eastAsia" w:cs="Times New Roman"/>
          <w:bCs/>
          <w:color w:val="auto"/>
          <w:szCs w:val="21"/>
          <w:highlight w:val="none"/>
          <w:lang w:eastAsia="zh-CN"/>
        </w:rPr>
        <w:t>，</w:t>
      </w:r>
      <w:r>
        <w:rPr>
          <w:rFonts w:hint="eastAsia" w:cs="Times New Roman"/>
          <w:bCs/>
          <w:color w:val="auto"/>
          <w:szCs w:val="21"/>
          <w:highlight w:val="none"/>
          <w:lang w:val="en-US" w:eastAsia="zh-CN"/>
        </w:rPr>
        <w:t>每一个案例得1分，满分5分</w:t>
      </w:r>
      <w:r>
        <w:rPr>
          <w:rFonts w:hint="eastAsia" w:cs="Times New Roman"/>
          <w:bCs/>
          <w:color w:val="auto"/>
          <w:szCs w:val="21"/>
          <w:highlight w:val="none"/>
          <w:lang w:eastAsia="zh-CN"/>
        </w:rPr>
        <w:t>。</w:t>
      </w:r>
    </w:p>
    <w:p w14:paraId="34858F9F">
      <w:pPr>
        <w:pStyle w:val="68"/>
        <w:numPr>
          <w:ilvl w:val="0"/>
          <w:numId w:val="4"/>
        </w:numPr>
        <w:tabs>
          <w:tab w:val="left" w:pos="1165"/>
        </w:tabs>
        <w:spacing w:line="380" w:lineRule="exact"/>
        <w:rPr>
          <w:rFonts w:hint="default" w:ascii="Times New Roman" w:hAnsi="Times New Roman" w:eastAsia="宋体" w:cs="Times New Roman"/>
          <w:b/>
          <w:bCs w:val="0"/>
          <w:color w:val="auto"/>
          <w:szCs w:val="21"/>
          <w:highlight w:val="none"/>
          <w:lang w:val="en-US" w:eastAsia="zh-CN"/>
        </w:rPr>
      </w:pPr>
      <w:r>
        <w:rPr>
          <w:rFonts w:hint="default" w:ascii="Times New Roman" w:hAnsi="Times New Roman" w:eastAsia="宋体" w:cs="Times New Roman"/>
          <w:b/>
          <w:bCs w:val="0"/>
          <w:color w:val="auto"/>
          <w:szCs w:val="21"/>
          <w:highlight w:val="none"/>
          <w:lang w:val="en-US" w:eastAsia="zh-CN"/>
        </w:rPr>
        <w:t>团队配置（</w:t>
      </w:r>
      <w:r>
        <w:rPr>
          <w:rFonts w:hint="eastAsia" w:ascii="Times New Roman" w:hAnsi="Times New Roman" w:eastAsia="宋体" w:cs="Times New Roman"/>
          <w:b/>
          <w:bCs w:val="0"/>
          <w:color w:val="auto"/>
          <w:szCs w:val="21"/>
          <w:highlight w:val="none"/>
          <w:lang w:val="en-US" w:eastAsia="zh-CN"/>
        </w:rPr>
        <w:t>满分</w:t>
      </w:r>
      <w:r>
        <w:rPr>
          <w:rFonts w:hint="default" w:ascii="Times New Roman" w:hAnsi="Times New Roman" w:eastAsia="宋体" w:cs="Times New Roman"/>
          <w:b/>
          <w:bCs w:val="0"/>
          <w:color w:val="auto"/>
          <w:szCs w:val="21"/>
          <w:highlight w:val="none"/>
          <w:lang w:val="en-US" w:eastAsia="zh-CN"/>
        </w:rPr>
        <w:t>10 分）</w:t>
      </w:r>
      <w:r>
        <w:rPr>
          <w:rFonts w:hint="eastAsia" w:cs="Times New Roman"/>
          <w:b/>
          <w:bCs w:val="0"/>
          <w:color w:val="auto"/>
          <w:szCs w:val="21"/>
          <w:highlight w:val="none"/>
          <w:lang w:val="en-US" w:eastAsia="zh-CN"/>
        </w:rPr>
        <w:t>:</w:t>
      </w:r>
    </w:p>
    <w:p w14:paraId="7920E5FD">
      <w:pPr>
        <w:pStyle w:val="68"/>
        <w:tabs>
          <w:tab w:val="left" w:pos="1165"/>
        </w:tabs>
        <w:spacing w:line="380" w:lineRule="exact"/>
        <w:rPr>
          <w:rFonts w:hint="default" w:cs="Times New Roman"/>
          <w:bCs/>
          <w:color w:val="auto"/>
          <w:szCs w:val="21"/>
          <w:highlight w:val="yellow"/>
          <w:lang w:val="en-US" w:eastAsia="zh-CN"/>
        </w:rPr>
      </w:pPr>
      <w:r>
        <w:rPr>
          <w:rFonts w:hint="eastAsia" w:cs="Times New Roman"/>
          <w:bCs/>
          <w:color w:val="auto"/>
          <w:szCs w:val="21"/>
          <w:highlight w:val="yellow"/>
          <w:lang w:val="en-US" w:eastAsia="zh-CN"/>
        </w:rPr>
        <w:t>团队人员配置≥5人，包含项目总监、编导、摄像、剪辑、文案专业人员，人员为公司正式员工（提交社保缴纳名单或证明），具备2年以上相关工作经验（附简历）。以上条件每满足1人得2分，满分10分。</w:t>
      </w:r>
    </w:p>
    <w:p w14:paraId="21413717">
      <w:pPr>
        <w:pStyle w:val="68"/>
        <w:numPr>
          <w:ilvl w:val="0"/>
          <w:numId w:val="4"/>
        </w:numPr>
        <w:tabs>
          <w:tab w:val="left" w:pos="1165"/>
        </w:tabs>
        <w:spacing w:line="380" w:lineRule="exact"/>
        <w:ind w:firstLine="422" w:firstLineChars="200"/>
        <w:rPr>
          <w:rFonts w:hint="default" w:cs="Times New Roman"/>
          <w:b/>
          <w:bCs w:val="0"/>
          <w:color w:val="auto"/>
          <w:szCs w:val="21"/>
          <w:highlight w:val="none"/>
          <w:lang w:val="en-US" w:eastAsia="zh-CN"/>
        </w:rPr>
      </w:pPr>
      <w:r>
        <w:rPr>
          <w:rFonts w:hint="eastAsia" w:cs="Times New Roman"/>
          <w:b/>
          <w:bCs w:val="0"/>
          <w:color w:val="auto"/>
          <w:szCs w:val="21"/>
          <w:highlight w:val="none"/>
          <w:lang w:val="en-US" w:eastAsia="zh-CN"/>
        </w:rPr>
        <w:t>案例</w:t>
      </w:r>
      <w:r>
        <w:rPr>
          <w:rFonts w:hint="default" w:cs="Times New Roman"/>
          <w:b/>
          <w:bCs w:val="0"/>
          <w:color w:val="auto"/>
          <w:szCs w:val="21"/>
          <w:highlight w:val="none"/>
          <w:lang w:val="en-US" w:eastAsia="zh-CN"/>
        </w:rPr>
        <w:t>质量</w:t>
      </w:r>
      <w:r>
        <w:rPr>
          <w:rFonts w:hint="eastAsia" w:cs="Times New Roman"/>
          <w:b/>
          <w:bCs w:val="0"/>
          <w:color w:val="auto"/>
          <w:szCs w:val="21"/>
          <w:highlight w:val="none"/>
          <w:lang w:val="en-US" w:eastAsia="zh-CN"/>
        </w:rPr>
        <w:t>（满分20分）:</w:t>
      </w:r>
    </w:p>
    <w:p w14:paraId="6DE62BB7">
      <w:pPr>
        <w:pStyle w:val="68"/>
        <w:numPr>
          <w:ilvl w:val="-1"/>
          <w:numId w:val="0"/>
        </w:numPr>
        <w:tabs>
          <w:tab w:val="left" w:pos="1165"/>
        </w:tabs>
        <w:spacing w:line="380" w:lineRule="exact"/>
        <w:ind w:firstLine="422" w:firstLineChars="200"/>
        <w:rPr>
          <w:rFonts w:hint="eastAsia" w:cs="Times New Roman"/>
          <w:b/>
          <w:bCs w:val="0"/>
          <w:color w:val="auto"/>
          <w:szCs w:val="21"/>
          <w:highlight w:val="none"/>
          <w:lang w:val="en-US" w:eastAsia="zh-CN"/>
        </w:rPr>
      </w:pPr>
      <w:r>
        <w:rPr>
          <w:rFonts w:hint="eastAsia" w:cs="Times New Roman"/>
          <w:b/>
          <w:bCs w:val="0"/>
          <w:color w:val="auto"/>
          <w:szCs w:val="21"/>
          <w:highlight w:val="none"/>
          <w:lang w:val="en-US" w:eastAsia="zh-CN"/>
        </w:rPr>
        <w:t>1.单条短视频曝光量</w:t>
      </w:r>
    </w:p>
    <w:p w14:paraId="13DAFCB1">
      <w:pPr>
        <w:pStyle w:val="68"/>
        <w:numPr>
          <w:ilvl w:val="-1"/>
          <w:numId w:val="0"/>
        </w:numPr>
        <w:tabs>
          <w:tab w:val="left" w:pos="1165"/>
        </w:tabs>
        <w:spacing w:line="380" w:lineRule="exact"/>
        <w:ind w:firstLine="420" w:firstLine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一档：单条短视频曝光量≥1500万，得10分；</w:t>
      </w:r>
    </w:p>
    <w:p w14:paraId="43951E60">
      <w:pPr>
        <w:pStyle w:val="68"/>
        <w:numPr>
          <w:ilvl w:val="-1"/>
          <w:numId w:val="0"/>
        </w:numPr>
        <w:tabs>
          <w:tab w:val="left" w:pos="1165"/>
        </w:tabs>
        <w:spacing w:line="380" w:lineRule="exact"/>
        <w:ind w:firstLine="420" w:firstLine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二挡：单条短视频曝光量≥1000万，得6分；</w:t>
      </w:r>
    </w:p>
    <w:p w14:paraId="202DCB10">
      <w:pPr>
        <w:pStyle w:val="68"/>
        <w:numPr>
          <w:ilvl w:val="-1"/>
          <w:numId w:val="0"/>
        </w:numPr>
        <w:tabs>
          <w:tab w:val="left" w:pos="1165"/>
        </w:tabs>
        <w:spacing w:line="380" w:lineRule="exact"/>
        <w:ind w:firstLine="420" w:firstLine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三挡：单条短视频曝光量≥500万，得3分；</w:t>
      </w:r>
    </w:p>
    <w:p w14:paraId="2E0647E4">
      <w:pPr>
        <w:pStyle w:val="68"/>
        <w:numPr>
          <w:ilvl w:val="-1"/>
          <w:numId w:val="0"/>
        </w:numPr>
        <w:tabs>
          <w:tab w:val="left" w:pos="1165"/>
        </w:tabs>
        <w:spacing w:line="380" w:lineRule="exact"/>
        <w:ind w:firstLine="422" w:firstLineChars="200"/>
        <w:rPr>
          <w:rFonts w:hint="eastAsia" w:cs="Times New Roman"/>
          <w:b/>
          <w:bCs w:val="0"/>
          <w:color w:val="auto"/>
          <w:szCs w:val="21"/>
          <w:highlight w:val="none"/>
          <w:lang w:val="en-US" w:eastAsia="zh-CN"/>
        </w:rPr>
      </w:pPr>
      <w:r>
        <w:rPr>
          <w:rFonts w:hint="eastAsia" w:cs="Times New Roman"/>
          <w:b/>
          <w:bCs w:val="0"/>
          <w:color w:val="auto"/>
          <w:szCs w:val="21"/>
          <w:highlight w:val="none"/>
          <w:lang w:val="en-US" w:eastAsia="zh-CN"/>
        </w:rPr>
        <w:t>2.经济转换率</w:t>
      </w:r>
    </w:p>
    <w:p w14:paraId="713923BD">
      <w:pPr>
        <w:pStyle w:val="68"/>
        <w:numPr>
          <w:ilvl w:val="-1"/>
          <w:numId w:val="0"/>
        </w:numPr>
        <w:tabs>
          <w:tab w:val="left" w:pos="1165"/>
        </w:tabs>
        <w:spacing w:line="380" w:lineRule="exact"/>
        <w:ind w:firstLine="420" w:firstLine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一档：单场直播GMV≥100万元，得10分；</w:t>
      </w:r>
    </w:p>
    <w:p w14:paraId="6C3A1C48">
      <w:pPr>
        <w:pStyle w:val="68"/>
        <w:numPr>
          <w:ilvl w:val="-1"/>
          <w:numId w:val="0"/>
        </w:numPr>
        <w:tabs>
          <w:tab w:val="left" w:pos="1165"/>
        </w:tabs>
        <w:spacing w:line="380" w:lineRule="exact"/>
        <w:ind w:firstLine="420" w:firstLine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二挡：单场直播GMV≥50万元，得6分；</w:t>
      </w:r>
    </w:p>
    <w:p w14:paraId="1442FC23">
      <w:pPr>
        <w:pStyle w:val="68"/>
        <w:numPr>
          <w:ilvl w:val="-1"/>
          <w:numId w:val="0"/>
        </w:numPr>
        <w:tabs>
          <w:tab w:val="left" w:pos="1165"/>
        </w:tabs>
        <w:spacing w:line="380" w:lineRule="exact"/>
        <w:ind w:firstLine="420" w:firstLineChars="200"/>
        <w:rPr>
          <w:rFonts w:ascii="Times New Roman" w:hAnsi="Times New Roman" w:eastAsia="宋体" w:cs="Times New Roman"/>
          <w:bCs/>
          <w:color w:val="auto"/>
          <w:szCs w:val="21"/>
          <w:highlight w:val="none"/>
        </w:rPr>
      </w:pPr>
      <w:r>
        <w:rPr>
          <w:rFonts w:hint="eastAsia" w:cs="Times New Roman"/>
          <w:bCs/>
          <w:color w:val="auto"/>
          <w:szCs w:val="21"/>
          <w:highlight w:val="none"/>
          <w:lang w:val="en-US" w:eastAsia="zh-CN"/>
        </w:rPr>
        <w:t>三挡：单场直播GMV≥20万元，得3分；</w:t>
      </w:r>
    </w:p>
    <w:p w14:paraId="1C19A08A">
      <w:pPr>
        <w:pStyle w:val="68"/>
        <w:numPr>
          <w:ilvl w:val="0"/>
          <w:numId w:val="0"/>
        </w:numPr>
        <w:tabs>
          <w:tab w:val="left" w:pos="1165"/>
        </w:tabs>
        <w:spacing w:line="380" w:lineRule="exact"/>
        <w:ind w:leftChars="200"/>
        <w:rPr>
          <w:rFonts w:hint="eastAsia" w:cs="Times New Roman"/>
          <w:b/>
          <w:bCs w:val="0"/>
          <w:color w:val="auto"/>
          <w:szCs w:val="21"/>
          <w:highlight w:val="none"/>
          <w:lang w:val="en-US" w:eastAsia="zh-CN"/>
        </w:rPr>
      </w:pPr>
      <w:r>
        <w:rPr>
          <w:rFonts w:hint="eastAsia" w:cs="Times New Roman"/>
          <w:b/>
          <w:bCs w:val="0"/>
          <w:color w:val="auto"/>
          <w:szCs w:val="21"/>
          <w:highlight w:val="none"/>
          <w:lang w:val="en-US" w:eastAsia="zh-CN"/>
        </w:rPr>
        <w:t>4.增值服务分</w:t>
      </w:r>
      <w:r>
        <w:rPr>
          <w:rFonts w:ascii="Times New Roman" w:hAnsi="Times New Roman" w:cs="Times New Roman"/>
          <w:b/>
          <w:bCs/>
          <w:color w:val="auto"/>
          <w:highlight w:val="none"/>
        </w:rPr>
        <w:t>………………………………………………………………………………</w:t>
      </w:r>
      <w:r>
        <w:rPr>
          <w:rFonts w:hint="eastAsia" w:cs="Times New Roman"/>
          <w:b/>
          <w:bCs/>
          <w:color w:val="auto"/>
          <w:highlight w:val="none"/>
          <w:lang w:val="en-US" w:eastAsia="zh-CN"/>
        </w:rPr>
        <w:t>5</w:t>
      </w:r>
      <w:r>
        <w:rPr>
          <w:rFonts w:ascii="Times New Roman" w:hAnsi="Times New Roman" w:cs="Times New Roman"/>
          <w:b/>
          <w:bCs/>
          <w:color w:val="auto"/>
          <w:highlight w:val="none"/>
        </w:rPr>
        <w:t>分</w:t>
      </w:r>
    </w:p>
    <w:p w14:paraId="41448886">
      <w:pPr>
        <w:pStyle w:val="68"/>
        <w:numPr>
          <w:ilvl w:val="0"/>
          <w:numId w:val="0"/>
        </w:numPr>
        <w:tabs>
          <w:tab w:val="left" w:pos="1165"/>
        </w:tabs>
        <w:spacing w:line="380" w:lineRule="exact"/>
        <w:ind w:leftChars="200"/>
        <w:rPr>
          <w:rFonts w:hint="eastAsia" w:cs="Times New Roman"/>
          <w:bCs/>
          <w:color w:val="auto"/>
          <w:szCs w:val="21"/>
          <w:highlight w:val="none"/>
          <w:lang w:val="en-US" w:eastAsia="zh-CN"/>
        </w:rPr>
      </w:pPr>
      <w:r>
        <w:rPr>
          <w:rFonts w:hint="eastAsia" w:cs="Times New Roman"/>
          <w:bCs/>
          <w:color w:val="auto"/>
          <w:szCs w:val="21"/>
          <w:highlight w:val="none"/>
          <w:lang w:val="en-US" w:eastAsia="zh-CN"/>
        </w:rPr>
        <w:t>列举有助于采购人项目提升粉丝量、曝光度的相关方案，采购人根据增值服务的可行性进行及科学</w:t>
      </w:r>
    </w:p>
    <w:p w14:paraId="5983F908">
      <w:pPr>
        <w:pStyle w:val="68"/>
        <w:numPr>
          <w:ilvl w:val="0"/>
          <w:numId w:val="0"/>
        </w:numPr>
        <w:tabs>
          <w:tab w:val="left" w:pos="1165"/>
        </w:tabs>
        <w:spacing w:line="380" w:lineRule="exact"/>
        <w:rPr>
          <w:rFonts w:hint="default" w:cs="Times New Roman"/>
          <w:bCs/>
          <w:color w:val="auto"/>
          <w:szCs w:val="21"/>
          <w:highlight w:val="none"/>
          <w:lang w:val="en-US" w:eastAsia="zh-CN"/>
        </w:rPr>
      </w:pPr>
      <w:r>
        <w:rPr>
          <w:rFonts w:hint="eastAsia" w:cs="Times New Roman"/>
          <w:bCs/>
          <w:color w:val="auto"/>
          <w:szCs w:val="21"/>
          <w:highlight w:val="none"/>
          <w:lang w:val="en-US" w:eastAsia="zh-CN"/>
        </w:rPr>
        <w:t>性评估，给予0-5分。</w:t>
      </w:r>
    </w:p>
    <w:p w14:paraId="212DE274">
      <w:pPr>
        <w:pStyle w:val="68"/>
        <w:tabs>
          <w:tab w:val="left" w:pos="1165"/>
        </w:tabs>
        <w:spacing w:line="380" w:lineRule="exact"/>
        <w:ind w:firstLine="420" w:firstLineChars="200"/>
        <w:rPr>
          <w:rFonts w:hint="default" w:eastAsia="宋体"/>
          <w:b w:val="0"/>
          <w:bCs/>
          <w:color w:val="auto"/>
          <w:szCs w:val="21"/>
          <w:highlight w:val="none"/>
          <w:lang w:val="en-US" w:eastAsia="zh-CN"/>
        </w:rPr>
      </w:pPr>
      <w:r>
        <w:rPr>
          <w:b w:val="0"/>
          <w:bCs/>
          <w:color w:val="auto"/>
          <w:szCs w:val="21"/>
          <w:highlight w:val="none"/>
        </w:rPr>
        <w:t>（五）总得分＝1＋2＋</w:t>
      </w:r>
      <w:r>
        <w:rPr>
          <w:rFonts w:hint="eastAsia"/>
          <w:b w:val="0"/>
          <w:bCs/>
          <w:color w:val="auto"/>
          <w:szCs w:val="21"/>
          <w:highlight w:val="none"/>
        </w:rPr>
        <w:t>3</w:t>
      </w:r>
      <w:r>
        <w:rPr>
          <w:rFonts w:hint="eastAsia"/>
          <w:b w:val="0"/>
          <w:bCs/>
          <w:color w:val="auto"/>
          <w:szCs w:val="21"/>
          <w:highlight w:val="none"/>
          <w:lang w:val="en-US" w:eastAsia="zh-CN"/>
        </w:rPr>
        <w:t>+4</w:t>
      </w:r>
    </w:p>
    <w:p w14:paraId="7D2EDCB3">
      <w:pPr>
        <w:pStyle w:val="23"/>
        <w:spacing w:line="380" w:lineRule="exact"/>
        <w:ind w:firstLine="420" w:firstLineChars="200"/>
        <w:rPr>
          <w:rFonts w:ascii="Times New Roman" w:hAnsi="Times New Roman" w:cs="Times New Roman"/>
          <w:bCs/>
          <w:color w:val="auto"/>
          <w:highlight w:val="none"/>
        </w:rPr>
      </w:pPr>
      <w:r>
        <w:rPr>
          <w:rFonts w:ascii="Times New Roman" w:hAnsi="Times New Roman" w:cs="Times New Roman"/>
          <w:bCs/>
          <w:color w:val="auto"/>
          <w:highlight w:val="none"/>
        </w:rPr>
        <w:t>（六）中标标准：磋商小组将按总得分由高到低排列中标候选</w:t>
      </w:r>
      <w:r>
        <w:rPr>
          <w:rFonts w:hint="eastAsia" w:ascii="Times New Roman" w:hAnsi="Times New Roman" w:cs="Times New Roman"/>
          <w:bCs/>
          <w:color w:val="auto"/>
          <w:highlight w:val="none"/>
        </w:rPr>
        <w:t>竞标人</w:t>
      </w:r>
      <w:r>
        <w:rPr>
          <w:rFonts w:ascii="Times New Roman" w:hAnsi="Times New Roman" w:cs="Times New Roman"/>
          <w:bCs/>
          <w:color w:val="auto"/>
          <w:highlight w:val="none"/>
        </w:rPr>
        <w:t>顺序（</w:t>
      </w:r>
      <w:r>
        <w:rPr>
          <w:rFonts w:ascii="Times New Roman" w:hAnsi="Times New Roman" w:eastAsia="宋体" w:cs="Times New Roman"/>
          <w:bCs/>
          <w:color w:val="auto"/>
          <w:highlight w:val="none"/>
        </w:rPr>
        <w:t>总得分相同时，依次按投标报价低优先、方案分高优先的顺序排列</w:t>
      </w:r>
      <w:r>
        <w:rPr>
          <w:rFonts w:ascii="Times New Roman" w:hAnsi="Times New Roman" w:cs="Times New Roman"/>
          <w:bCs/>
          <w:color w:val="auto"/>
          <w:highlight w:val="none"/>
        </w:rPr>
        <w:t>），并依照次序确定中标</w:t>
      </w:r>
      <w:r>
        <w:rPr>
          <w:rFonts w:hint="eastAsia" w:ascii="Times New Roman" w:hAnsi="Times New Roman" w:cs="Times New Roman"/>
          <w:bCs/>
          <w:color w:val="auto"/>
          <w:highlight w:val="none"/>
        </w:rPr>
        <w:t>竞标人</w:t>
      </w:r>
      <w:r>
        <w:rPr>
          <w:rFonts w:ascii="Times New Roman" w:hAnsi="Times New Roman" w:cs="Times New Roman"/>
          <w:bCs/>
          <w:color w:val="auto"/>
          <w:highlight w:val="none"/>
        </w:rPr>
        <w:t>。</w:t>
      </w:r>
    </w:p>
    <w:p w14:paraId="6B5D287A">
      <w:pPr>
        <w:pStyle w:val="23"/>
        <w:spacing w:line="380" w:lineRule="exact"/>
        <w:ind w:firstLine="420" w:firstLineChars="200"/>
        <w:rPr>
          <w:rFonts w:ascii="Times New Roman" w:hAnsi="Times New Roman" w:cs="Times New Roman"/>
          <w:bCs/>
          <w:color w:val="auto"/>
          <w:highlight w:val="none"/>
        </w:rPr>
      </w:pPr>
      <w:r>
        <w:rPr>
          <w:rFonts w:ascii="Times New Roman" w:hAnsi="Times New Roman" w:cs="Times New Roman"/>
          <w:bCs/>
          <w:color w:val="auto"/>
          <w:highlight w:val="none"/>
        </w:rPr>
        <w:t xml:space="preserve">（七）特别说明 </w:t>
      </w:r>
    </w:p>
    <w:p w14:paraId="58927603">
      <w:pPr>
        <w:spacing w:line="440" w:lineRule="exact"/>
        <w:ind w:firstLine="420" w:firstLineChars="200"/>
        <w:rPr>
          <w:bCs/>
          <w:color w:val="auto"/>
          <w:szCs w:val="21"/>
          <w:highlight w:val="none"/>
        </w:rPr>
      </w:pPr>
      <w:r>
        <w:rPr>
          <w:bCs/>
          <w:color w:val="auto"/>
          <w:szCs w:val="21"/>
          <w:highlight w:val="none"/>
        </w:rPr>
        <w:t>磋商小组认为竞标人的报价明显低于其他通过符合性审查竞标人的报价，有可能影响服务质量或者不能诚信履约的，应当要求其在评标现场合理的时间内提供书面说明，必要时提交相关证明材料；竞标人能证明其报价合理性的，磋商小组应当将其作为无效竞标处理。</w:t>
      </w:r>
    </w:p>
    <w:p w14:paraId="3634E0B7">
      <w:pPr>
        <w:spacing w:line="440" w:lineRule="exact"/>
        <w:jc w:val="center"/>
        <w:rPr>
          <w:color w:val="auto"/>
          <w:szCs w:val="21"/>
          <w:highlight w:val="none"/>
        </w:rPr>
      </w:pPr>
    </w:p>
    <w:p w14:paraId="5951E26E">
      <w:pPr>
        <w:spacing w:line="440" w:lineRule="exact"/>
        <w:jc w:val="center"/>
        <w:rPr>
          <w:color w:val="auto"/>
          <w:szCs w:val="21"/>
          <w:highlight w:val="none"/>
        </w:rPr>
      </w:pPr>
    </w:p>
    <w:p w14:paraId="32457B3F">
      <w:pPr>
        <w:spacing w:line="400" w:lineRule="exact"/>
        <w:jc w:val="center"/>
        <w:rPr>
          <w:color w:val="auto"/>
          <w:sz w:val="32"/>
          <w:szCs w:val="32"/>
          <w:highlight w:val="none"/>
        </w:rPr>
      </w:pPr>
    </w:p>
    <w:p w14:paraId="387E5E6A">
      <w:pPr>
        <w:spacing w:line="400" w:lineRule="exact"/>
        <w:jc w:val="center"/>
        <w:rPr>
          <w:color w:val="auto"/>
          <w:sz w:val="32"/>
          <w:szCs w:val="32"/>
          <w:highlight w:val="none"/>
        </w:rPr>
      </w:pPr>
    </w:p>
    <w:p w14:paraId="545ABB26">
      <w:pPr>
        <w:pStyle w:val="4"/>
        <w:rPr>
          <w:color w:val="auto"/>
          <w:highlight w:val="none"/>
        </w:rPr>
      </w:pPr>
    </w:p>
    <w:p w14:paraId="529DE730">
      <w:pPr>
        <w:rPr>
          <w:color w:val="auto"/>
          <w:highlight w:val="none"/>
        </w:rPr>
      </w:pPr>
    </w:p>
    <w:p w14:paraId="4D3B3E41">
      <w:pPr>
        <w:rPr>
          <w:color w:val="auto"/>
          <w:highlight w:val="none"/>
        </w:rPr>
      </w:pPr>
    </w:p>
    <w:p w14:paraId="75EC415D">
      <w:pPr>
        <w:pStyle w:val="2"/>
        <w:jc w:val="both"/>
        <w:rPr>
          <w:color w:val="auto"/>
          <w:highlight w:val="none"/>
        </w:rPr>
      </w:pPr>
      <w:bookmarkStart w:id="14" w:name="_Toc77937045"/>
    </w:p>
    <w:p w14:paraId="0831BF7E">
      <w:pPr>
        <w:rPr>
          <w:color w:val="auto"/>
          <w:highlight w:val="none"/>
        </w:rPr>
      </w:pPr>
    </w:p>
    <w:p w14:paraId="0658B2AB">
      <w:pPr>
        <w:pStyle w:val="2"/>
        <w:rPr>
          <w:color w:val="auto"/>
          <w:highlight w:val="none"/>
        </w:rPr>
      </w:pPr>
    </w:p>
    <w:p w14:paraId="38BFA058">
      <w:pPr>
        <w:pStyle w:val="2"/>
        <w:rPr>
          <w:color w:val="auto"/>
          <w:highlight w:val="none"/>
        </w:rPr>
      </w:pPr>
    </w:p>
    <w:p w14:paraId="1B124EAA">
      <w:pPr>
        <w:pStyle w:val="2"/>
        <w:rPr>
          <w:color w:val="auto"/>
          <w:highlight w:val="none"/>
        </w:rPr>
      </w:pPr>
      <w:bookmarkStart w:id="15" w:name="_Toc18156"/>
      <w:bookmarkStart w:id="16" w:name="_Toc15250"/>
      <w:r>
        <w:rPr>
          <w:color w:val="auto"/>
          <w:highlight w:val="none"/>
        </w:rPr>
        <w:t>第五章  磋商响应文件格式</w:t>
      </w:r>
      <w:bookmarkEnd w:id="14"/>
      <w:bookmarkEnd w:id="15"/>
      <w:bookmarkEnd w:id="16"/>
    </w:p>
    <w:p w14:paraId="243756E2">
      <w:pPr>
        <w:spacing w:line="500" w:lineRule="exact"/>
        <w:jc w:val="center"/>
        <w:rPr>
          <w:color w:val="auto"/>
          <w:szCs w:val="21"/>
          <w:highlight w:val="none"/>
        </w:rPr>
      </w:pPr>
    </w:p>
    <w:p w14:paraId="2616B741">
      <w:pPr>
        <w:spacing w:line="500" w:lineRule="exact"/>
        <w:jc w:val="center"/>
        <w:rPr>
          <w:color w:val="auto"/>
          <w:szCs w:val="21"/>
          <w:highlight w:val="none"/>
        </w:rPr>
      </w:pPr>
    </w:p>
    <w:p w14:paraId="5C1A931F">
      <w:pPr>
        <w:spacing w:line="500" w:lineRule="exact"/>
        <w:jc w:val="center"/>
        <w:rPr>
          <w:color w:val="auto"/>
          <w:szCs w:val="21"/>
          <w:highlight w:val="none"/>
        </w:rPr>
      </w:pPr>
    </w:p>
    <w:p w14:paraId="7E3413E1">
      <w:pPr>
        <w:spacing w:line="500" w:lineRule="exact"/>
        <w:jc w:val="center"/>
        <w:rPr>
          <w:color w:val="auto"/>
          <w:sz w:val="32"/>
          <w:szCs w:val="32"/>
          <w:highlight w:val="none"/>
        </w:rPr>
      </w:pPr>
    </w:p>
    <w:p w14:paraId="3450C3D7">
      <w:pPr>
        <w:spacing w:line="500" w:lineRule="exact"/>
        <w:jc w:val="center"/>
        <w:rPr>
          <w:color w:val="auto"/>
          <w:sz w:val="32"/>
          <w:szCs w:val="32"/>
          <w:highlight w:val="none"/>
        </w:rPr>
      </w:pPr>
    </w:p>
    <w:p w14:paraId="6CB73FD5">
      <w:pPr>
        <w:spacing w:line="500" w:lineRule="exact"/>
        <w:jc w:val="center"/>
        <w:rPr>
          <w:color w:val="auto"/>
          <w:sz w:val="32"/>
          <w:szCs w:val="32"/>
          <w:highlight w:val="none"/>
        </w:rPr>
      </w:pPr>
    </w:p>
    <w:p w14:paraId="064E34AB">
      <w:pPr>
        <w:spacing w:line="500" w:lineRule="exact"/>
        <w:jc w:val="center"/>
        <w:rPr>
          <w:color w:val="auto"/>
          <w:sz w:val="32"/>
          <w:szCs w:val="32"/>
          <w:highlight w:val="none"/>
        </w:rPr>
      </w:pPr>
    </w:p>
    <w:p w14:paraId="42EB2ECE">
      <w:pPr>
        <w:spacing w:line="500" w:lineRule="exact"/>
        <w:jc w:val="center"/>
        <w:rPr>
          <w:color w:val="auto"/>
          <w:sz w:val="32"/>
          <w:szCs w:val="32"/>
          <w:highlight w:val="none"/>
        </w:rPr>
      </w:pPr>
    </w:p>
    <w:p w14:paraId="6240DE87">
      <w:pPr>
        <w:spacing w:line="500" w:lineRule="exact"/>
        <w:jc w:val="center"/>
        <w:rPr>
          <w:color w:val="auto"/>
          <w:sz w:val="32"/>
          <w:szCs w:val="32"/>
          <w:highlight w:val="none"/>
        </w:rPr>
      </w:pPr>
    </w:p>
    <w:p w14:paraId="61E50250">
      <w:pPr>
        <w:spacing w:line="500" w:lineRule="exact"/>
        <w:jc w:val="center"/>
        <w:rPr>
          <w:color w:val="auto"/>
          <w:sz w:val="32"/>
          <w:szCs w:val="32"/>
          <w:highlight w:val="none"/>
        </w:rPr>
      </w:pPr>
    </w:p>
    <w:p w14:paraId="5BB84E7C">
      <w:pPr>
        <w:spacing w:line="500" w:lineRule="exact"/>
        <w:jc w:val="center"/>
        <w:rPr>
          <w:color w:val="auto"/>
          <w:sz w:val="32"/>
          <w:szCs w:val="32"/>
          <w:highlight w:val="none"/>
        </w:rPr>
      </w:pPr>
    </w:p>
    <w:p w14:paraId="0EBC8E98">
      <w:pPr>
        <w:spacing w:line="500" w:lineRule="exact"/>
        <w:jc w:val="center"/>
        <w:rPr>
          <w:color w:val="auto"/>
          <w:sz w:val="32"/>
          <w:szCs w:val="32"/>
          <w:highlight w:val="none"/>
        </w:rPr>
      </w:pPr>
      <w:r>
        <w:rPr>
          <w:color w:val="auto"/>
          <w:sz w:val="32"/>
          <w:szCs w:val="32"/>
          <w:highlight w:val="none"/>
        </w:rPr>
        <w:br w:type="page"/>
      </w:r>
    </w:p>
    <w:p w14:paraId="4BA3491D">
      <w:pPr>
        <w:spacing w:line="500" w:lineRule="exact"/>
        <w:rPr>
          <w:color w:val="auto"/>
          <w:sz w:val="32"/>
          <w:szCs w:val="32"/>
          <w:highlight w:val="none"/>
        </w:rPr>
      </w:pPr>
    </w:p>
    <w:p w14:paraId="494976C0">
      <w:pPr>
        <w:spacing w:line="500" w:lineRule="exact"/>
        <w:jc w:val="center"/>
        <w:rPr>
          <w:color w:val="auto"/>
          <w:sz w:val="44"/>
          <w:szCs w:val="44"/>
          <w:highlight w:val="none"/>
        </w:rPr>
      </w:pPr>
      <w:r>
        <w:rPr>
          <w:color w:val="auto"/>
          <w:sz w:val="44"/>
          <w:szCs w:val="44"/>
          <w:highlight w:val="none"/>
        </w:rPr>
        <w:t>竞争性磋商响应文件（封面）</w:t>
      </w:r>
    </w:p>
    <w:p w14:paraId="5894F747">
      <w:pPr>
        <w:spacing w:line="500" w:lineRule="exact"/>
        <w:jc w:val="center"/>
        <w:rPr>
          <w:color w:val="auto"/>
          <w:szCs w:val="21"/>
          <w:highlight w:val="none"/>
        </w:rPr>
      </w:pPr>
    </w:p>
    <w:p w14:paraId="3F1128B9">
      <w:pPr>
        <w:spacing w:line="500" w:lineRule="exact"/>
        <w:jc w:val="center"/>
        <w:rPr>
          <w:color w:val="auto"/>
          <w:szCs w:val="21"/>
          <w:highlight w:val="none"/>
        </w:rPr>
      </w:pPr>
    </w:p>
    <w:p w14:paraId="7E519C9B">
      <w:pPr>
        <w:spacing w:line="500" w:lineRule="exact"/>
        <w:jc w:val="center"/>
        <w:rPr>
          <w:color w:val="auto"/>
          <w:szCs w:val="21"/>
          <w:highlight w:val="none"/>
        </w:rPr>
      </w:pPr>
    </w:p>
    <w:p w14:paraId="0683F99E">
      <w:pPr>
        <w:spacing w:line="500" w:lineRule="exact"/>
        <w:jc w:val="center"/>
        <w:rPr>
          <w:color w:val="auto"/>
          <w:szCs w:val="21"/>
          <w:highlight w:val="none"/>
        </w:rPr>
      </w:pPr>
    </w:p>
    <w:p w14:paraId="36B39465">
      <w:pPr>
        <w:spacing w:line="500" w:lineRule="exact"/>
        <w:jc w:val="center"/>
        <w:rPr>
          <w:color w:val="auto"/>
          <w:szCs w:val="21"/>
          <w:highlight w:val="none"/>
        </w:rPr>
      </w:pPr>
    </w:p>
    <w:p w14:paraId="2FFFDB96">
      <w:pPr>
        <w:tabs>
          <w:tab w:val="left" w:pos="3240"/>
        </w:tabs>
        <w:spacing w:line="600" w:lineRule="auto"/>
        <w:ind w:firstLine="2158" w:firstLineChars="771"/>
        <w:rPr>
          <w:color w:val="auto"/>
          <w:sz w:val="28"/>
          <w:szCs w:val="28"/>
          <w:highlight w:val="none"/>
        </w:rPr>
      </w:pPr>
    </w:p>
    <w:p w14:paraId="7E55295F">
      <w:pPr>
        <w:tabs>
          <w:tab w:val="left" w:pos="3240"/>
        </w:tabs>
        <w:spacing w:line="600" w:lineRule="auto"/>
        <w:ind w:firstLine="2158" w:firstLineChars="771"/>
        <w:rPr>
          <w:color w:val="auto"/>
          <w:sz w:val="28"/>
          <w:szCs w:val="28"/>
          <w:highlight w:val="none"/>
          <w:u w:val="single"/>
        </w:rPr>
      </w:pPr>
      <w:r>
        <w:rPr>
          <w:color w:val="auto"/>
          <w:sz w:val="28"/>
          <w:szCs w:val="28"/>
          <w:highlight w:val="none"/>
        </w:rPr>
        <w:t>采购项目名称：</w:t>
      </w:r>
      <w:r>
        <w:rPr>
          <w:color w:val="auto"/>
          <w:sz w:val="28"/>
          <w:szCs w:val="28"/>
          <w:highlight w:val="none"/>
          <w:u w:val="single"/>
        </w:rPr>
        <w:t xml:space="preserve">                       </w:t>
      </w:r>
    </w:p>
    <w:p w14:paraId="2701300A">
      <w:pPr>
        <w:spacing w:line="600" w:lineRule="auto"/>
        <w:ind w:firstLine="2158" w:firstLineChars="771"/>
        <w:rPr>
          <w:color w:val="auto"/>
          <w:sz w:val="28"/>
          <w:szCs w:val="28"/>
          <w:highlight w:val="none"/>
        </w:rPr>
      </w:pPr>
    </w:p>
    <w:p w14:paraId="7671535E">
      <w:pPr>
        <w:spacing w:line="600" w:lineRule="auto"/>
        <w:ind w:firstLine="2158" w:firstLineChars="771"/>
        <w:rPr>
          <w:color w:val="auto"/>
          <w:sz w:val="28"/>
          <w:szCs w:val="28"/>
          <w:highlight w:val="none"/>
        </w:rPr>
      </w:pPr>
    </w:p>
    <w:p w14:paraId="18B747D9">
      <w:pPr>
        <w:tabs>
          <w:tab w:val="left" w:pos="2625"/>
        </w:tabs>
        <w:spacing w:line="600" w:lineRule="auto"/>
        <w:jc w:val="center"/>
        <w:rPr>
          <w:color w:val="auto"/>
          <w:szCs w:val="21"/>
          <w:highlight w:val="none"/>
        </w:rPr>
      </w:pPr>
    </w:p>
    <w:p w14:paraId="2AB7AD35">
      <w:pPr>
        <w:tabs>
          <w:tab w:val="left" w:pos="2625"/>
        </w:tabs>
        <w:spacing w:line="500" w:lineRule="exact"/>
        <w:jc w:val="center"/>
        <w:rPr>
          <w:color w:val="auto"/>
          <w:szCs w:val="21"/>
          <w:highlight w:val="none"/>
        </w:rPr>
      </w:pPr>
    </w:p>
    <w:p w14:paraId="7777A707">
      <w:pPr>
        <w:tabs>
          <w:tab w:val="left" w:pos="2625"/>
        </w:tabs>
        <w:spacing w:line="500" w:lineRule="exact"/>
        <w:jc w:val="center"/>
        <w:rPr>
          <w:color w:val="auto"/>
          <w:szCs w:val="21"/>
          <w:highlight w:val="none"/>
        </w:rPr>
      </w:pPr>
    </w:p>
    <w:p w14:paraId="3776E334">
      <w:pPr>
        <w:tabs>
          <w:tab w:val="left" w:pos="2625"/>
        </w:tabs>
        <w:spacing w:line="500" w:lineRule="exact"/>
        <w:jc w:val="center"/>
        <w:rPr>
          <w:color w:val="auto"/>
          <w:szCs w:val="21"/>
          <w:highlight w:val="none"/>
        </w:rPr>
      </w:pPr>
    </w:p>
    <w:p w14:paraId="6C6B1378">
      <w:pPr>
        <w:spacing w:line="500" w:lineRule="exact"/>
        <w:rPr>
          <w:color w:val="auto"/>
          <w:szCs w:val="21"/>
          <w:highlight w:val="none"/>
        </w:rPr>
      </w:pPr>
    </w:p>
    <w:p w14:paraId="02B21B10">
      <w:pPr>
        <w:spacing w:line="500" w:lineRule="exact"/>
        <w:jc w:val="center"/>
        <w:rPr>
          <w:color w:val="auto"/>
          <w:sz w:val="28"/>
          <w:szCs w:val="28"/>
          <w:highlight w:val="none"/>
        </w:rPr>
      </w:pPr>
      <w:r>
        <w:rPr>
          <w:color w:val="auto"/>
          <w:sz w:val="28"/>
          <w:szCs w:val="28"/>
          <w:highlight w:val="none"/>
        </w:rPr>
        <w:t xml:space="preserve">                           （竞标</w:t>
      </w:r>
      <w:r>
        <w:rPr>
          <w:rFonts w:hint="eastAsia"/>
          <w:color w:val="auto"/>
          <w:sz w:val="28"/>
          <w:szCs w:val="28"/>
          <w:highlight w:val="none"/>
        </w:rPr>
        <w:t>人</w:t>
      </w:r>
      <w:r>
        <w:rPr>
          <w:color w:val="auto"/>
          <w:sz w:val="28"/>
          <w:szCs w:val="28"/>
          <w:highlight w:val="none"/>
        </w:rPr>
        <w:t>名称）</w:t>
      </w:r>
    </w:p>
    <w:p w14:paraId="446D138A">
      <w:pPr>
        <w:spacing w:line="500" w:lineRule="exact"/>
        <w:jc w:val="center"/>
        <w:rPr>
          <w:color w:val="auto"/>
          <w:sz w:val="28"/>
          <w:szCs w:val="28"/>
          <w:highlight w:val="none"/>
        </w:rPr>
      </w:pPr>
      <w:r>
        <w:rPr>
          <w:color w:val="auto"/>
          <w:sz w:val="28"/>
          <w:szCs w:val="28"/>
          <w:highlight w:val="none"/>
        </w:rPr>
        <w:t xml:space="preserve">                           年    月    日</w:t>
      </w:r>
    </w:p>
    <w:p w14:paraId="63832662">
      <w:pPr>
        <w:spacing w:line="320" w:lineRule="exact"/>
        <w:rPr>
          <w:color w:val="auto"/>
          <w:szCs w:val="21"/>
          <w:highlight w:val="none"/>
        </w:rPr>
      </w:pPr>
    </w:p>
    <w:p w14:paraId="6C5D83DD">
      <w:pPr>
        <w:spacing w:line="520" w:lineRule="exact"/>
        <w:rPr>
          <w:color w:val="auto"/>
          <w:szCs w:val="21"/>
          <w:highlight w:val="none"/>
        </w:rPr>
      </w:pPr>
    </w:p>
    <w:p w14:paraId="54B3AF4B">
      <w:pPr>
        <w:spacing w:line="520" w:lineRule="exact"/>
        <w:rPr>
          <w:color w:val="auto"/>
          <w:szCs w:val="21"/>
          <w:highlight w:val="none"/>
        </w:rPr>
      </w:pPr>
    </w:p>
    <w:p w14:paraId="628AFB65">
      <w:pPr>
        <w:spacing w:line="520" w:lineRule="exact"/>
        <w:jc w:val="center"/>
        <w:rPr>
          <w:b/>
          <w:color w:val="auto"/>
          <w:sz w:val="28"/>
          <w:szCs w:val="28"/>
          <w:highlight w:val="none"/>
        </w:rPr>
      </w:pPr>
    </w:p>
    <w:p w14:paraId="7FD4AADB">
      <w:pPr>
        <w:pStyle w:val="40"/>
        <w:rPr>
          <w:b/>
          <w:color w:val="auto"/>
          <w:sz w:val="28"/>
          <w:szCs w:val="28"/>
          <w:highlight w:val="none"/>
        </w:rPr>
      </w:pPr>
    </w:p>
    <w:p w14:paraId="0FC12531">
      <w:pPr>
        <w:pStyle w:val="40"/>
        <w:rPr>
          <w:b/>
          <w:color w:val="auto"/>
          <w:sz w:val="28"/>
          <w:szCs w:val="28"/>
          <w:highlight w:val="none"/>
        </w:rPr>
      </w:pPr>
    </w:p>
    <w:p w14:paraId="0096FB72">
      <w:pPr>
        <w:spacing w:line="520" w:lineRule="exact"/>
        <w:jc w:val="center"/>
        <w:rPr>
          <w:b/>
          <w:color w:val="auto"/>
          <w:sz w:val="28"/>
          <w:szCs w:val="28"/>
          <w:highlight w:val="none"/>
        </w:rPr>
      </w:pPr>
      <w:r>
        <w:rPr>
          <w:b/>
          <w:color w:val="auto"/>
          <w:sz w:val="28"/>
          <w:szCs w:val="28"/>
          <w:highlight w:val="none"/>
        </w:rPr>
        <w:t>目  录</w:t>
      </w:r>
    </w:p>
    <w:p w14:paraId="3AC6623B">
      <w:pPr>
        <w:adjustRightInd w:val="0"/>
        <w:snapToGrid w:val="0"/>
        <w:spacing w:line="400" w:lineRule="exact"/>
        <w:rPr>
          <w:color w:val="auto"/>
          <w:szCs w:val="21"/>
          <w:highlight w:val="none"/>
        </w:rPr>
      </w:pPr>
      <w:r>
        <w:rPr>
          <w:color w:val="auto"/>
          <w:szCs w:val="21"/>
          <w:highlight w:val="none"/>
        </w:rPr>
        <w:t>1.磋商函-------------------------------------------------------------（页码）</w:t>
      </w:r>
    </w:p>
    <w:p w14:paraId="41FF0CC4">
      <w:pPr>
        <w:adjustRightInd w:val="0"/>
        <w:snapToGrid w:val="0"/>
        <w:spacing w:line="400" w:lineRule="exact"/>
        <w:rPr>
          <w:color w:val="auto"/>
          <w:szCs w:val="21"/>
          <w:highlight w:val="none"/>
        </w:rPr>
      </w:pPr>
      <w:r>
        <w:rPr>
          <w:color w:val="auto"/>
          <w:szCs w:val="21"/>
          <w:highlight w:val="none"/>
        </w:rPr>
        <w:t>2.报价表--------------------------------------------------</w:t>
      </w:r>
    </w:p>
    <w:p w14:paraId="1AF29717">
      <w:pPr>
        <w:adjustRightInd w:val="0"/>
        <w:snapToGrid w:val="0"/>
        <w:spacing w:line="400" w:lineRule="exact"/>
        <w:rPr>
          <w:color w:val="auto"/>
          <w:szCs w:val="21"/>
          <w:highlight w:val="none"/>
        </w:rPr>
      </w:pPr>
      <w:r>
        <w:rPr>
          <w:color w:val="auto"/>
          <w:szCs w:val="21"/>
          <w:highlight w:val="none"/>
        </w:rPr>
        <w:t>3.</w:t>
      </w:r>
      <w:r>
        <w:rPr>
          <w:color w:val="auto"/>
          <w:highlight w:val="none"/>
        </w:rPr>
        <w:t>服务方案</w:t>
      </w:r>
      <w:r>
        <w:rPr>
          <w:color w:val="auto"/>
          <w:szCs w:val="21"/>
          <w:highlight w:val="none"/>
        </w:rPr>
        <w:t>--------------------------------------------------</w:t>
      </w:r>
    </w:p>
    <w:p w14:paraId="4F48D590">
      <w:pPr>
        <w:adjustRightInd w:val="0"/>
        <w:snapToGrid w:val="0"/>
        <w:spacing w:line="400" w:lineRule="exact"/>
        <w:rPr>
          <w:color w:val="auto"/>
          <w:szCs w:val="21"/>
          <w:highlight w:val="none"/>
        </w:rPr>
      </w:pPr>
      <w:r>
        <w:rPr>
          <w:color w:val="auto"/>
          <w:szCs w:val="21"/>
          <w:highlight w:val="none"/>
        </w:rPr>
        <w:t>4.商务、技术响应、偏离情况说明表---------------------------------------------</w:t>
      </w:r>
    </w:p>
    <w:p w14:paraId="65853B0E">
      <w:pPr>
        <w:adjustRightInd w:val="0"/>
        <w:snapToGrid w:val="0"/>
        <w:spacing w:line="400" w:lineRule="exact"/>
        <w:rPr>
          <w:color w:val="auto"/>
          <w:szCs w:val="21"/>
          <w:highlight w:val="none"/>
        </w:rPr>
      </w:pPr>
      <w:r>
        <w:rPr>
          <w:color w:val="auto"/>
          <w:szCs w:val="21"/>
          <w:highlight w:val="none"/>
        </w:rPr>
        <w:t>5.法定代表人授权书原件及委托代理人身份证复印件-------------------------------</w:t>
      </w:r>
    </w:p>
    <w:p w14:paraId="55799843">
      <w:pPr>
        <w:adjustRightInd w:val="0"/>
        <w:snapToGrid w:val="0"/>
        <w:spacing w:line="400" w:lineRule="exact"/>
        <w:rPr>
          <w:color w:val="auto"/>
          <w:szCs w:val="21"/>
          <w:highlight w:val="none"/>
        </w:rPr>
      </w:pPr>
      <w:r>
        <w:rPr>
          <w:color w:val="auto"/>
          <w:szCs w:val="21"/>
          <w:highlight w:val="none"/>
        </w:rPr>
        <w:t>6.竞标人有效的“法人营业执照”副本内页复印件------------------------------</w:t>
      </w:r>
    </w:p>
    <w:p w14:paraId="78B1E5B0">
      <w:pPr>
        <w:adjustRightInd w:val="0"/>
        <w:snapToGrid w:val="0"/>
        <w:spacing w:line="400" w:lineRule="exact"/>
        <w:rPr>
          <w:color w:val="auto"/>
          <w:szCs w:val="21"/>
          <w:highlight w:val="none"/>
        </w:rPr>
      </w:pPr>
      <w:r>
        <w:rPr>
          <w:color w:val="auto"/>
          <w:szCs w:val="21"/>
          <w:highlight w:val="none"/>
        </w:rPr>
        <w:t>7.竞标人类似服务的业绩竞标人同类项目实施情况一览表-------------------------------------</w:t>
      </w:r>
    </w:p>
    <w:p w14:paraId="2F5320C1">
      <w:pPr>
        <w:adjustRightInd w:val="0"/>
        <w:snapToGrid w:val="0"/>
        <w:spacing w:line="400" w:lineRule="exact"/>
        <w:rPr>
          <w:color w:val="auto"/>
          <w:szCs w:val="21"/>
          <w:highlight w:val="none"/>
        </w:rPr>
      </w:pPr>
      <w:r>
        <w:rPr>
          <w:color w:val="auto"/>
          <w:szCs w:val="21"/>
          <w:highlight w:val="none"/>
        </w:rPr>
        <w:t>8.其他特殊资质证明------------------------------</w:t>
      </w:r>
    </w:p>
    <w:p w14:paraId="46A24ABC">
      <w:pPr>
        <w:adjustRightInd w:val="0"/>
        <w:snapToGrid w:val="0"/>
        <w:spacing w:line="400" w:lineRule="exact"/>
        <w:rPr>
          <w:color w:val="auto"/>
          <w:szCs w:val="21"/>
          <w:highlight w:val="none"/>
        </w:rPr>
      </w:pPr>
      <w:r>
        <w:rPr>
          <w:rFonts w:hint="eastAsia"/>
          <w:color w:val="auto"/>
          <w:szCs w:val="21"/>
          <w:highlight w:val="none"/>
        </w:rPr>
        <w:t>9</w:t>
      </w:r>
      <w:r>
        <w:rPr>
          <w:color w:val="auto"/>
          <w:szCs w:val="21"/>
          <w:highlight w:val="none"/>
        </w:rPr>
        <w:t>.竞标人认为可以证明其能力或业绩的其他材料------------------------------</w:t>
      </w:r>
    </w:p>
    <w:p w14:paraId="12E8D1C9">
      <w:pPr>
        <w:adjustRightInd w:val="0"/>
        <w:snapToGrid w:val="0"/>
        <w:spacing w:line="400" w:lineRule="exact"/>
        <w:rPr>
          <w:color w:val="auto"/>
          <w:szCs w:val="21"/>
          <w:highlight w:val="none"/>
        </w:rPr>
      </w:pPr>
      <w:r>
        <w:rPr>
          <w:rFonts w:hint="eastAsia"/>
          <w:color w:val="auto"/>
          <w:szCs w:val="21"/>
          <w:highlight w:val="none"/>
        </w:rPr>
        <w:t>10</w:t>
      </w:r>
      <w:r>
        <w:rPr>
          <w:color w:val="auto"/>
          <w:szCs w:val="21"/>
          <w:highlight w:val="none"/>
        </w:rPr>
        <w:t>.项目实施人员一览表-------------------------</w:t>
      </w:r>
    </w:p>
    <w:p w14:paraId="4E0AB75B">
      <w:pPr>
        <w:spacing w:line="400" w:lineRule="exact"/>
        <w:rPr>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.本竞争性磋商文件要求提供的其他资料和需要说明的问题---------</w:t>
      </w:r>
    </w:p>
    <w:p w14:paraId="22EED874">
      <w:pPr>
        <w:widowControl/>
        <w:jc w:val="left"/>
        <w:rPr>
          <w:color w:val="auto"/>
          <w:szCs w:val="21"/>
          <w:highlight w:val="none"/>
        </w:rPr>
      </w:pPr>
      <w:r>
        <w:rPr>
          <w:color w:val="auto"/>
          <w:szCs w:val="21"/>
          <w:highlight w:val="none"/>
        </w:rPr>
        <w:br w:type="page"/>
      </w:r>
    </w:p>
    <w:p w14:paraId="3B92877F">
      <w:pPr>
        <w:spacing w:line="520" w:lineRule="exact"/>
        <w:rPr>
          <w:color w:val="auto"/>
          <w:szCs w:val="21"/>
          <w:highlight w:val="none"/>
        </w:rPr>
      </w:pPr>
      <w:r>
        <w:rPr>
          <w:color w:val="auto"/>
          <w:szCs w:val="21"/>
          <w:highlight w:val="none"/>
        </w:rPr>
        <w:t xml:space="preserve">附件一 </w:t>
      </w:r>
    </w:p>
    <w:p w14:paraId="0792CC95">
      <w:pPr>
        <w:spacing w:line="520" w:lineRule="exact"/>
        <w:jc w:val="center"/>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rPr>
        <w:t>磋商函</w:t>
      </w:r>
    </w:p>
    <w:p w14:paraId="0C2DADA2">
      <w:pPr>
        <w:spacing w:line="520" w:lineRule="exact"/>
        <w:jc w:val="center"/>
        <w:rPr>
          <w:color w:val="auto"/>
          <w:szCs w:val="21"/>
          <w:highlight w:val="none"/>
        </w:rPr>
      </w:pPr>
    </w:p>
    <w:p w14:paraId="3024215F">
      <w:pPr>
        <w:pStyle w:val="23"/>
        <w:spacing w:line="520" w:lineRule="exact"/>
        <w:rPr>
          <w:rFonts w:ascii="Times New Roman" w:hAnsi="Times New Roman" w:cs="Times New Roman"/>
          <w:color w:val="auto"/>
          <w:highlight w:val="none"/>
        </w:rPr>
      </w:pPr>
      <w:r>
        <w:rPr>
          <w:rFonts w:hint="eastAsia" w:ascii="Times New Roman" w:hAnsi="Times New Roman" w:cs="Times New Roman"/>
          <w:bCs/>
          <w:color w:val="auto"/>
          <w:szCs w:val="20"/>
          <w:highlight w:val="none"/>
          <w:lang w:eastAsia="zh-CN"/>
        </w:rPr>
        <w:t>广西东博国际经贸投资有限公司</w:t>
      </w:r>
      <w:r>
        <w:rPr>
          <w:rFonts w:ascii="Times New Roman" w:hAnsi="Times New Roman" w:cs="Times New Roman"/>
          <w:color w:val="auto"/>
          <w:highlight w:val="none"/>
        </w:rPr>
        <w:t>：</w:t>
      </w:r>
    </w:p>
    <w:p w14:paraId="2770C57C">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依据贵方</w:t>
      </w:r>
      <w:r>
        <w:rPr>
          <w:rFonts w:ascii="Times New Roman" w:hAnsi="Times New Roman" w:cs="Times New Roman"/>
          <w:color w:val="auto"/>
          <w:highlight w:val="none"/>
          <w:u w:val="single"/>
        </w:rPr>
        <w:t>（项目名称）</w:t>
      </w:r>
      <w:r>
        <w:rPr>
          <w:rFonts w:ascii="Times New Roman" w:hAnsi="Times New Roman" w:cs="Times New Roman"/>
          <w:color w:val="auto"/>
          <w:highlight w:val="none"/>
        </w:rPr>
        <w:t>项目采购的磋商邀请，我方</w:t>
      </w:r>
      <w:r>
        <w:rPr>
          <w:rFonts w:ascii="Times New Roman" w:hAnsi="Times New Roman" w:cs="Times New Roman"/>
          <w:color w:val="auto"/>
          <w:highlight w:val="none"/>
          <w:u w:val="single"/>
        </w:rPr>
        <w:t>（姓名和职务）</w:t>
      </w:r>
      <w:r>
        <w:rPr>
          <w:rFonts w:ascii="Times New Roman" w:hAnsi="Times New Roman" w:cs="Times New Roman"/>
          <w:color w:val="auto"/>
          <w:highlight w:val="none"/>
        </w:rPr>
        <w:t>经正式授权并代表竞标人</w:t>
      </w:r>
      <w:r>
        <w:rPr>
          <w:rFonts w:ascii="Times New Roman" w:hAnsi="Times New Roman" w:cs="Times New Roman"/>
          <w:color w:val="auto"/>
          <w:highlight w:val="none"/>
          <w:u w:val="single"/>
        </w:rPr>
        <w:t>（磋商</w:t>
      </w:r>
      <w:r>
        <w:rPr>
          <w:rFonts w:hint="eastAsia" w:ascii="Times New Roman" w:hAnsi="Times New Roman" w:cs="Times New Roman"/>
          <w:color w:val="auto"/>
          <w:highlight w:val="none"/>
          <w:u w:val="single"/>
        </w:rPr>
        <w:t>竞标人</w:t>
      </w:r>
      <w:r>
        <w:rPr>
          <w:rFonts w:ascii="Times New Roman" w:hAnsi="Times New Roman" w:cs="Times New Roman"/>
          <w:color w:val="auto"/>
          <w:highlight w:val="none"/>
          <w:u w:val="single"/>
        </w:rPr>
        <w:t>名称、地址）</w:t>
      </w:r>
      <w:r>
        <w:rPr>
          <w:rFonts w:ascii="Times New Roman" w:hAnsi="Times New Roman" w:cs="Times New Roman"/>
          <w:color w:val="auto"/>
          <w:highlight w:val="none"/>
        </w:rPr>
        <w:t>提交下述竞争性磋商响应文件正本一份和副本</w:t>
      </w:r>
      <w:r>
        <w:rPr>
          <w:rFonts w:ascii="Times New Roman" w:hAnsi="Times New Roman" w:cs="Times New Roman"/>
          <w:color w:val="auto"/>
          <w:highlight w:val="none"/>
          <w:u w:val="single"/>
        </w:rPr>
        <w:t xml:space="preserve"> 二 </w:t>
      </w:r>
      <w:r>
        <w:rPr>
          <w:rFonts w:ascii="Times New Roman" w:hAnsi="Times New Roman" w:cs="Times New Roman"/>
          <w:color w:val="auto"/>
          <w:highlight w:val="none"/>
        </w:rPr>
        <w:t>份。</w:t>
      </w:r>
    </w:p>
    <w:p w14:paraId="0908D5CC">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1.磋商报价表；</w:t>
      </w:r>
    </w:p>
    <w:p w14:paraId="327CE0A3">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2.服务（技术设计）方案</w:t>
      </w:r>
    </w:p>
    <w:p w14:paraId="12EE8FB8">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3.商务、技术响应、偏离情况说明表；</w:t>
      </w:r>
    </w:p>
    <w:p w14:paraId="00F3D42F">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4.按竞争性磋商文件竞标人须知和技术规格要求提供的有关文件；</w:t>
      </w:r>
    </w:p>
    <w:p w14:paraId="5D3CF0C2">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5.资格证明文件；</w:t>
      </w:r>
    </w:p>
    <w:p w14:paraId="65409901">
      <w:pPr>
        <w:pStyle w:val="23"/>
        <w:spacing w:line="520" w:lineRule="exact"/>
        <w:ind w:firstLine="315" w:firstLineChars="150"/>
        <w:rPr>
          <w:rFonts w:ascii="Times New Roman" w:hAnsi="Times New Roman" w:cs="Times New Roman"/>
          <w:color w:val="auto"/>
          <w:highlight w:val="none"/>
        </w:rPr>
      </w:pPr>
      <w:r>
        <w:rPr>
          <w:rFonts w:ascii="Times New Roman" w:hAnsi="Times New Roman" w:cs="Times New Roman"/>
          <w:color w:val="auto"/>
          <w:highlight w:val="none"/>
        </w:rPr>
        <w:t>在此，授权代表宣布同意如下：</w:t>
      </w:r>
    </w:p>
    <w:p w14:paraId="1AB8D658">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1.将按竞争性磋商文件的约定履行合同责任和义务；</w:t>
      </w:r>
    </w:p>
    <w:p w14:paraId="68C58D99">
      <w:pPr>
        <w:pStyle w:val="23"/>
        <w:spacing w:line="520" w:lineRule="exact"/>
        <w:ind w:left="840" w:hanging="360"/>
        <w:rPr>
          <w:rFonts w:ascii="Times New Roman" w:hAnsi="Times New Roman" w:cs="Times New Roman"/>
          <w:color w:val="auto"/>
          <w:highlight w:val="none"/>
        </w:rPr>
      </w:pPr>
      <w:r>
        <w:rPr>
          <w:rFonts w:ascii="Times New Roman" w:hAnsi="Times New Roman" w:cs="Times New Roman"/>
          <w:color w:val="auto"/>
          <w:highlight w:val="none"/>
        </w:rPr>
        <w:t>2.已详细审查全部竞争性磋商文件，包括</w:t>
      </w:r>
      <w:r>
        <w:rPr>
          <w:rFonts w:ascii="Times New Roman" w:hAnsi="Times New Roman" w:cs="Times New Roman"/>
          <w:color w:val="auto"/>
          <w:highlight w:val="none"/>
          <w:u w:val="single"/>
        </w:rPr>
        <w:t>（补遗文件）（如有）</w:t>
      </w:r>
      <w:r>
        <w:rPr>
          <w:rFonts w:ascii="Times New Roman" w:hAnsi="Times New Roman" w:cs="Times New Roman"/>
          <w:color w:val="auto"/>
          <w:highlight w:val="none"/>
        </w:rPr>
        <w:t>；我们完全理解并同意放弃对这方面有不明及误解的权力；</w:t>
      </w:r>
    </w:p>
    <w:p w14:paraId="20B0E604">
      <w:pPr>
        <w:pStyle w:val="23"/>
        <w:spacing w:line="520" w:lineRule="exact"/>
        <w:ind w:left="840" w:hanging="360"/>
        <w:rPr>
          <w:rFonts w:ascii="Times New Roman" w:hAnsi="Times New Roman" w:cs="Times New Roman"/>
          <w:color w:val="auto"/>
          <w:highlight w:val="none"/>
        </w:rPr>
      </w:pPr>
      <w:r>
        <w:rPr>
          <w:rFonts w:ascii="Times New Roman" w:hAnsi="Times New Roman" w:cs="Times New Roman"/>
          <w:color w:val="auto"/>
          <w:highlight w:val="none"/>
        </w:rPr>
        <w:t>3.同意提供按照贵方可能要求的与其磋商有关的一切数据或资料；</w:t>
      </w:r>
    </w:p>
    <w:p w14:paraId="06E7F520">
      <w:pPr>
        <w:pStyle w:val="23"/>
        <w:spacing w:line="520" w:lineRule="exact"/>
        <w:ind w:firstLine="480"/>
        <w:rPr>
          <w:rFonts w:ascii="Times New Roman" w:hAnsi="Times New Roman" w:cs="Times New Roman"/>
          <w:color w:val="auto"/>
          <w:highlight w:val="none"/>
          <w:u w:val="single"/>
        </w:rPr>
      </w:pPr>
      <w:r>
        <w:rPr>
          <w:rFonts w:ascii="Times New Roman" w:hAnsi="Times New Roman" w:cs="Times New Roman"/>
          <w:color w:val="auto"/>
          <w:highlight w:val="none"/>
        </w:rPr>
        <w:t>4.与本磋商有关的一切正式往来信函请寄：</w:t>
      </w:r>
      <w:r>
        <w:rPr>
          <w:rFonts w:ascii="Times New Roman" w:hAnsi="Times New Roman" w:cs="Times New Roman"/>
          <w:color w:val="auto"/>
          <w:highlight w:val="none"/>
          <w:u w:val="single"/>
        </w:rPr>
        <w:t xml:space="preserve">                       </w:t>
      </w:r>
    </w:p>
    <w:p w14:paraId="0D6585F4">
      <w:pPr>
        <w:pStyle w:val="23"/>
        <w:spacing w:line="520" w:lineRule="exact"/>
        <w:ind w:firstLine="840"/>
        <w:rPr>
          <w:rFonts w:ascii="Times New Roman" w:hAnsi="Times New Roman" w:cs="Times New Roman"/>
          <w:color w:val="auto"/>
          <w:highlight w:val="none"/>
        </w:rPr>
      </w:pPr>
      <w:r>
        <w:rPr>
          <w:rFonts w:ascii="Times New Roman" w:hAnsi="Times New Roman" w:cs="Times New Roman"/>
          <w:color w:val="auto"/>
          <w:highlight w:val="none"/>
        </w:rPr>
        <w:t>电话/传真：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电子函件：</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56AD222B">
      <w:pPr>
        <w:pStyle w:val="23"/>
        <w:spacing w:line="520" w:lineRule="exact"/>
        <w:ind w:firstLine="840"/>
        <w:rPr>
          <w:rFonts w:ascii="Times New Roman" w:hAnsi="Times New Roman" w:cs="Times New Roman"/>
          <w:color w:val="auto"/>
          <w:highlight w:val="none"/>
          <w:u w:val="single"/>
        </w:rPr>
      </w:pPr>
      <w:r>
        <w:rPr>
          <w:rFonts w:ascii="Times New Roman" w:hAnsi="Times New Roman" w:cs="Times New Roman"/>
          <w:color w:val="auto"/>
          <w:highlight w:val="none"/>
        </w:rPr>
        <w:t>日期：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14:paraId="3C5623F3">
      <w:pPr>
        <w:pStyle w:val="23"/>
        <w:shd w:val="clear" w:color="auto" w:fill="auto"/>
        <w:spacing w:line="520" w:lineRule="exact"/>
        <w:ind w:firstLine="840"/>
        <w:rPr>
          <w:rFonts w:ascii="Times New Roman" w:hAnsi="Times New Roman" w:cs="Times New Roman"/>
          <w:color w:val="auto"/>
          <w:highlight w:val="none"/>
          <w:u w:val="single"/>
        </w:rPr>
      </w:pPr>
      <w:r>
        <w:rPr>
          <w:rFonts w:ascii="Times New Roman" w:hAnsi="Times New Roman" w:cs="Times New Roman"/>
          <w:color w:val="auto"/>
          <w:highlight w:val="none"/>
          <w:shd w:val="clear" w:color="auto" w:fill="auto"/>
        </w:rPr>
        <w:t>竞标人或法定</w:t>
      </w:r>
      <w:r>
        <w:rPr>
          <w:rFonts w:ascii="Times New Roman" w:hAnsi="Times New Roman" w:cs="Times New Roman"/>
          <w:color w:val="auto"/>
          <w:highlight w:val="none"/>
        </w:rPr>
        <w:t>代表人授权代表签字：</w:t>
      </w:r>
      <w:r>
        <w:rPr>
          <w:rFonts w:ascii="Times New Roman" w:hAnsi="Times New Roman" w:cs="Times New Roman"/>
          <w:color w:val="auto"/>
          <w:highlight w:val="none"/>
          <w:u w:val="single"/>
        </w:rPr>
        <w:t xml:space="preserve">                       </w:t>
      </w:r>
    </w:p>
    <w:p w14:paraId="38A07CCC">
      <w:pPr>
        <w:pStyle w:val="23"/>
        <w:shd w:val="clear" w:color="auto" w:fill="auto"/>
        <w:spacing w:line="520" w:lineRule="exact"/>
        <w:ind w:firstLine="840"/>
        <w:rPr>
          <w:rFonts w:ascii="Times New Roman" w:hAnsi="Times New Roman" w:cs="Times New Roman"/>
          <w:color w:val="auto"/>
          <w:highlight w:val="none"/>
        </w:rPr>
      </w:pPr>
      <w:r>
        <w:rPr>
          <w:rFonts w:hint="eastAsia" w:ascii="Times New Roman" w:hAnsi="Times New Roman" w:cs="Times New Roman"/>
          <w:color w:val="auto"/>
          <w:highlight w:val="none"/>
          <w:shd w:val="clear" w:color="auto" w:fill="auto"/>
        </w:rPr>
        <w:t>竞标人</w:t>
      </w:r>
      <w:r>
        <w:rPr>
          <w:rFonts w:ascii="Times New Roman" w:hAnsi="Times New Roman" w:cs="Times New Roman"/>
          <w:color w:val="auto"/>
          <w:highlight w:val="none"/>
          <w:shd w:val="clear" w:color="auto" w:fill="auto"/>
        </w:rPr>
        <w:t>名称（签</w:t>
      </w:r>
      <w:r>
        <w:rPr>
          <w:rFonts w:ascii="Times New Roman" w:hAnsi="Times New Roman" w:cs="Times New Roman"/>
          <w:color w:val="auto"/>
          <w:highlight w:val="none"/>
        </w:rPr>
        <w:t>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0358B1C1">
      <w:pPr>
        <w:pStyle w:val="23"/>
        <w:spacing w:line="520" w:lineRule="exact"/>
        <w:ind w:firstLine="840"/>
        <w:rPr>
          <w:rFonts w:ascii="Times New Roman" w:hAnsi="Times New Roman" w:cs="Times New Roman"/>
          <w:color w:val="auto"/>
          <w:highlight w:val="none"/>
        </w:rPr>
      </w:pPr>
      <w:r>
        <w:rPr>
          <w:rFonts w:ascii="Times New Roman" w:hAnsi="Times New Roman" w:cs="Times New Roman"/>
          <w:color w:val="auto"/>
          <w:highlight w:val="none"/>
        </w:rPr>
        <w:t>开户银行：</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帐号/行号：</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52AD88F3">
      <w:pPr>
        <w:spacing w:line="360" w:lineRule="exact"/>
        <w:rPr>
          <w:color w:val="auto"/>
          <w:szCs w:val="21"/>
          <w:highlight w:val="none"/>
        </w:rPr>
      </w:pPr>
    </w:p>
    <w:p w14:paraId="18EA83C9">
      <w:pPr>
        <w:spacing w:line="300" w:lineRule="auto"/>
        <w:rPr>
          <w:color w:val="auto"/>
          <w:szCs w:val="21"/>
          <w:highlight w:val="none"/>
        </w:rPr>
      </w:pPr>
    </w:p>
    <w:p w14:paraId="0F97CA32">
      <w:pPr>
        <w:spacing w:line="300" w:lineRule="auto"/>
        <w:rPr>
          <w:color w:val="auto"/>
          <w:szCs w:val="21"/>
          <w:highlight w:val="none"/>
        </w:rPr>
      </w:pPr>
    </w:p>
    <w:p w14:paraId="01C0405E">
      <w:pPr>
        <w:spacing w:line="500" w:lineRule="exact"/>
        <w:rPr>
          <w:color w:val="auto"/>
          <w:szCs w:val="21"/>
          <w:highlight w:val="none"/>
        </w:rPr>
      </w:pPr>
    </w:p>
    <w:p w14:paraId="2C1E2273">
      <w:pPr>
        <w:spacing w:line="500" w:lineRule="exact"/>
        <w:rPr>
          <w:color w:val="auto"/>
          <w:szCs w:val="21"/>
          <w:highlight w:val="none"/>
        </w:rPr>
      </w:pPr>
    </w:p>
    <w:p w14:paraId="55299EF4">
      <w:pPr>
        <w:spacing w:line="500" w:lineRule="exact"/>
        <w:rPr>
          <w:color w:val="auto"/>
          <w:szCs w:val="21"/>
          <w:highlight w:val="none"/>
        </w:rPr>
      </w:pPr>
      <w:r>
        <w:rPr>
          <w:color w:val="auto"/>
          <w:szCs w:val="21"/>
          <w:highlight w:val="none"/>
        </w:rPr>
        <w:t xml:space="preserve">附件二             </w:t>
      </w:r>
    </w:p>
    <w:p w14:paraId="1E35B814">
      <w:pPr>
        <w:spacing w:line="500" w:lineRule="exact"/>
        <w:jc w:val="center"/>
        <w:rPr>
          <w:color w:val="auto"/>
          <w:szCs w:val="21"/>
          <w:highlight w:val="none"/>
        </w:rPr>
      </w:pPr>
      <w:r>
        <w:rPr>
          <w:rFonts w:hint="eastAsia" w:ascii="黑体" w:hAnsi="黑体" w:eastAsia="黑体" w:cs="黑体"/>
          <w:color w:val="auto"/>
          <w:sz w:val="36"/>
          <w:szCs w:val="36"/>
          <w:highlight w:val="none"/>
        </w:rPr>
        <w:t>磋商报价表</w:t>
      </w:r>
      <w:r>
        <w:rPr>
          <w:color w:val="auto"/>
          <w:szCs w:val="21"/>
          <w:highlight w:val="none"/>
        </w:rPr>
        <w:t xml:space="preserve"> </w:t>
      </w:r>
    </w:p>
    <w:p w14:paraId="48FFAC88">
      <w:pPr>
        <w:spacing w:line="500" w:lineRule="exact"/>
        <w:jc w:val="right"/>
        <w:rPr>
          <w:color w:val="auto"/>
          <w:szCs w:val="21"/>
          <w:highlight w:val="none"/>
        </w:rPr>
      </w:pPr>
      <w:r>
        <w:rPr>
          <w:color w:val="auto"/>
          <w:szCs w:val="21"/>
          <w:highlight w:val="none"/>
        </w:rPr>
        <w:t xml:space="preserve">                                    单位：元</w:t>
      </w:r>
    </w:p>
    <w:tbl>
      <w:tblPr>
        <w:tblStyle w:val="41"/>
        <w:tblW w:w="5459" w:type="pct"/>
        <w:tblInd w:w="-4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9"/>
        <w:gridCol w:w="1387"/>
        <w:gridCol w:w="3484"/>
        <w:gridCol w:w="1024"/>
        <w:gridCol w:w="790"/>
        <w:gridCol w:w="645"/>
        <w:gridCol w:w="1532"/>
      </w:tblGrid>
      <w:tr w14:paraId="7D20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416D4A89">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（一）基础服务费用</w:t>
            </w:r>
          </w:p>
        </w:tc>
      </w:tr>
      <w:tr w14:paraId="3C03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423" w:type="pct"/>
            <w:gridSpan w:val="2"/>
            <w:tcBorders>
              <w:top w:val="single" w:color="000000" w:sz="4" w:space="0"/>
              <w:left w:val="single" w:color="000000" w:sz="4" w:space="0"/>
              <w:bottom w:val="single" w:color="000000" w:sz="4" w:space="0"/>
              <w:right w:val="single" w:color="000000" w:sz="4" w:space="0"/>
            </w:tcBorders>
            <w:noWrap/>
            <w:vAlign w:val="center"/>
          </w:tcPr>
          <w:p w14:paraId="0000AD2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服务项目</w:t>
            </w:r>
          </w:p>
        </w:tc>
        <w:tc>
          <w:tcPr>
            <w:tcW w:w="1666" w:type="pct"/>
            <w:tcBorders>
              <w:top w:val="single" w:color="000000" w:sz="4" w:space="0"/>
              <w:left w:val="single" w:color="000000" w:sz="4" w:space="0"/>
              <w:bottom w:val="single" w:color="000000" w:sz="4" w:space="0"/>
              <w:right w:val="single" w:color="000000" w:sz="4" w:space="0"/>
            </w:tcBorders>
            <w:noWrap/>
            <w:vAlign w:val="center"/>
          </w:tcPr>
          <w:p w14:paraId="3073342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服务内容说明</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F718DDD">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（元/条）</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67B82C4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（条）</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B7F5C0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小计</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68A276A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19F5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60" w:type="pct"/>
            <w:vMerge w:val="restart"/>
            <w:tcBorders>
              <w:top w:val="single" w:color="000000" w:sz="4" w:space="0"/>
              <w:left w:val="single" w:color="000000" w:sz="4" w:space="0"/>
              <w:bottom w:val="single" w:color="000000" w:sz="4" w:space="0"/>
              <w:right w:val="single" w:color="000000" w:sz="4" w:space="0"/>
            </w:tcBorders>
            <w:noWrap/>
            <w:vAlign w:val="center"/>
          </w:tcPr>
          <w:p w14:paraId="18225139">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视频内容制作</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0F500A7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口播类视频</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048E80F5">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lang w:eastAsia="zh-CN"/>
              </w:rPr>
            </w:pP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lang w:val="en-US" w:eastAsia="zh-CN"/>
              </w:rPr>
              <w:t>竞标人根据自身制作视频创作方式，主要素材、主题、风格、展现方式、预期效果进行说明</w:t>
            </w:r>
            <w:r>
              <w:rPr>
                <w:rFonts w:hint="eastAsia" w:ascii="宋体" w:hAnsi="宋体" w:eastAsia="宋体" w:cs="宋体"/>
                <w:i w:val="0"/>
                <w:iCs w:val="0"/>
                <w:color w:val="000000"/>
                <w:sz w:val="18"/>
                <w:szCs w:val="18"/>
                <w:highlight w:val="none"/>
                <w:u w:val="none"/>
                <w:lang w:eastAsia="zh-CN"/>
              </w:rPr>
              <w:t>）</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DF3DC10">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02D8C7D7">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D0F307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324B91AE">
            <w:pPr>
              <w:keepNext w:val="0"/>
              <w:keepLines w:val="0"/>
              <w:pageBreakBefore w:val="0"/>
              <w:widowControl/>
              <w:suppressLineNumbers w:val="0"/>
              <w:kinsoku/>
              <w:wordWrap/>
              <w:overflowPunct/>
              <w:topLinePunct w:val="0"/>
              <w:bidi w:val="0"/>
              <w:spacing w:line="400" w:lineRule="exact"/>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描述如何确保质量、效果</w:t>
            </w:r>
          </w:p>
        </w:tc>
      </w:tr>
      <w:tr w14:paraId="2276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760" w:type="pct"/>
            <w:vMerge w:val="continue"/>
            <w:tcBorders>
              <w:top w:val="single" w:color="000000" w:sz="4" w:space="0"/>
              <w:left w:val="single" w:color="000000" w:sz="4" w:space="0"/>
              <w:bottom w:val="single" w:color="000000" w:sz="4" w:space="0"/>
              <w:right w:val="single" w:color="000000" w:sz="4" w:space="0"/>
            </w:tcBorders>
            <w:noWrap/>
            <w:vAlign w:val="center"/>
          </w:tcPr>
          <w:p w14:paraId="6AFF5B4A">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7FBF49E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AI+混剪类视频</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5CB59E87">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eastAsia="zh-CN"/>
              </w:rPr>
              <w:t>（</w:t>
            </w:r>
            <w:r>
              <w:rPr>
                <w:rFonts w:hint="eastAsia" w:ascii="宋体" w:hAnsi="宋体" w:eastAsia="宋体" w:cs="宋体"/>
                <w:i w:val="0"/>
                <w:iCs w:val="0"/>
                <w:color w:val="000000"/>
                <w:sz w:val="18"/>
                <w:szCs w:val="18"/>
                <w:highlight w:val="none"/>
                <w:u w:val="none"/>
                <w:lang w:val="en-US" w:eastAsia="zh-CN"/>
              </w:rPr>
              <w:t>竞标人根据自身制作视频创作方式，主要素材、主题、风格、展现方式、预期效果进行说明</w:t>
            </w:r>
            <w:r>
              <w:rPr>
                <w:rFonts w:hint="eastAsia" w:ascii="宋体" w:hAnsi="宋体" w:eastAsia="宋体" w:cs="宋体"/>
                <w:i w:val="0"/>
                <w:iCs w:val="0"/>
                <w:color w:val="000000"/>
                <w:sz w:val="18"/>
                <w:szCs w:val="18"/>
                <w:highlight w:val="none"/>
                <w:u w:val="none"/>
                <w:lang w:eastAsia="zh-CN"/>
              </w:rPr>
              <w:t>）</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0E7172B0">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4B738C5C">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432F9714">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41D49D5F">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同上</w:t>
            </w:r>
          </w:p>
        </w:tc>
      </w:tr>
      <w:tr w14:paraId="76398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restart"/>
            <w:tcBorders>
              <w:top w:val="single" w:color="000000" w:sz="4" w:space="0"/>
              <w:left w:val="single" w:color="000000" w:sz="4" w:space="0"/>
              <w:bottom w:val="single" w:color="000000" w:sz="4" w:space="0"/>
              <w:right w:val="single" w:color="000000" w:sz="4" w:space="0"/>
            </w:tcBorders>
            <w:noWrap/>
            <w:vAlign w:val="center"/>
          </w:tcPr>
          <w:p w14:paraId="53F8F53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工具费用</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118D3DB5">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即梦</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22C39FD2">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（介绍工具）</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5BDF3CD5">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5A6F8301">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3278F9C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6A9C0177">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4982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continue"/>
            <w:tcBorders>
              <w:top w:val="single" w:color="000000" w:sz="4" w:space="0"/>
              <w:left w:val="single" w:color="000000" w:sz="4" w:space="0"/>
              <w:bottom w:val="single" w:color="000000" w:sz="4" w:space="0"/>
              <w:right w:val="single" w:color="000000" w:sz="4" w:space="0"/>
            </w:tcBorders>
            <w:noWrap/>
            <w:vAlign w:val="center"/>
          </w:tcPr>
          <w:p w14:paraId="328AB231">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067AA44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可灵</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68D0D1C0">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（介绍工具）</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6AC75FF">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4E9FB826">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0EFAF863">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4F0CD913">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4E0F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0" w:type="pct"/>
            <w:vMerge w:val="continue"/>
            <w:tcBorders>
              <w:top w:val="single" w:color="000000" w:sz="4" w:space="0"/>
              <w:left w:val="single" w:color="000000" w:sz="4" w:space="0"/>
              <w:bottom w:val="single" w:color="000000" w:sz="4" w:space="0"/>
              <w:right w:val="single" w:color="000000" w:sz="4" w:space="0"/>
            </w:tcBorders>
            <w:noWrap/>
            <w:vAlign w:val="center"/>
          </w:tcPr>
          <w:p w14:paraId="5345F889">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69F29586">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DeepSeek</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4C900D8B">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（介绍工具）</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0E624B3">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664DC053">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0947877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7C5BD8AB">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6387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60" w:type="pct"/>
            <w:vMerge w:val="continue"/>
            <w:tcBorders>
              <w:top w:val="single" w:color="000000" w:sz="4" w:space="0"/>
              <w:left w:val="single" w:color="000000" w:sz="4" w:space="0"/>
              <w:bottom w:val="single" w:color="000000" w:sz="4" w:space="0"/>
              <w:right w:val="single" w:color="000000" w:sz="4" w:space="0"/>
            </w:tcBorders>
            <w:noWrap/>
            <w:vAlign w:val="center"/>
          </w:tcPr>
          <w:p w14:paraId="0DD27E28">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50A2A56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豆包</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6195BA5A">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（介绍工具）</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F99DE0C">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2453D3B1">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34CF6DC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409291A3">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0BEA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60" w:type="pct"/>
            <w:tcBorders>
              <w:top w:val="single" w:color="000000" w:sz="4" w:space="0"/>
              <w:left w:val="single" w:color="000000" w:sz="4" w:space="0"/>
              <w:bottom w:val="single" w:color="000000" w:sz="4" w:space="0"/>
              <w:right w:val="nil"/>
            </w:tcBorders>
            <w:noWrap/>
            <w:vAlign w:val="center"/>
          </w:tcPr>
          <w:p w14:paraId="39D99D6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直播培训</w:t>
            </w:r>
          </w:p>
        </w:tc>
        <w:tc>
          <w:tcPr>
            <w:tcW w:w="663" w:type="pct"/>
            <w:tcBorders>
              <w:top w:val="single" w:color="000000" w:sz="4" w:space="0"/>
              <w:left w:val="single" w:color="000000" w:sz="4" w:space="0"/>
              <w:bottom w:val="single" w:color="000000" w:sz="4" w:space="0"/>
              <w:right w:val="nil"/>
            </w:tcBorders>
            <w:noWrap w:val="0"/>
            <w:vAlign w:val="center"/>
          </w:tcPr>
          <w:p w14:paraId="610523A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直播培训指导服务</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75036A82">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（介绍工具）</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C93806E">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2AAC6110">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23359C9A">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60C84D49">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4DE4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3" w:type="pct"/>
            <w:gridSpan w:val="2"/>
            <w:tcBorders>
              <w:top w:val="single" w:color="000000" w:sz="4" w:space="0"/>
              <w:left w:val="single" w:color="000000" w:sz="4" w:space="0"/>
              <w:bottom w:val="single" w:color="000000" w:sz="4" w:space="0"/>
              <w:right w:val="single" w:color="000000" w:sz="4" w:space="0"/>
            </w:tcBorders>
            <w:noWrap/>
            <w:vAlign w:val="center"/>
          </w:tcPr>
          <w:p w14:paraId="24B479BF">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认证费用</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743A0412">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负责办理账号认证手续，准备材料、提交申请、跟进审核进度，确保认证顺利完成</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DA19035">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0E17A2F2">
            <w:pPr>
              <w:pageBreakBefore w:val="0"/>
              <w:kinsoku/>
              <w:wordWrap/>
              <w:overflowPunct/>
              <w:topLinePunct w:val="0"/>
              <w:bidi w:val="0"/>
              <w:spacing w:line="400" w:lineRule="exact"/>
              <w:jc w:val="center"/>
              <w:rPr>
                <w:rFonts w:hint="eastAsia" w:ascii="宋体" w:hAnsi="宋体" w:eastAsia="宋体" w:cs="宋体"/>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0A964CE0">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0</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56A38063">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同上</w:t>
            </w:r>
          </w:p>
        </w:tc>
      </w:tr>
      <w:tr w14:paraId="68C9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67" w:type="pct"/>
            <w:gridSpan w:val="6"/>
            <w:tcBorders>
              <w:top w:val="single" w:color="000000" w:sz="4" w:space="0"/>
              <w:left w:val="single" w:color="000000" w:sz="4" w:space="0"/>
              <w:bottom w:val="single" w:color="000000" w:sz="4" w:space="0"/>
              <w:right w:val="single" w:color="000000" w:sz="4" w:space="0"/>
            </w:tcBorders>
            <w:noWrap/>
            <w:vAlign w:val="center"/>
          </w:tcPr>
          <w:p w14:paraId="1E60DB37">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基础服务费用合计（含税）：</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0E3EDF0C">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p>
        </w:tc>
      </w:tr>
      <w:tr w14:paraId="6647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4F271D78">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（二）浮动费用（投流费用）</w:t>
            </w:r>
          </w:p>
        </w:tc>
      </w:tr>
      <w:tr w14:paraId="4A0B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3" w:type="pct"/>
            <w:gridSpan w:val="2"/>
            <w:tcBorders>
              <w:top w:val="single" w:color="000000" w:sz="4" w:space="0"/>
              <w:left w:val="single" w:color="000000" w:sz="4" w:space="0"/>
              <w:bottom w:val="single" w:color="000000" w:sz="4" w:space="0"/>
              <w:right w:val="single" w:color="000000" w:sz="4" w:space="0"/>
            </w:tcBorders>
            <w:noWrap/>
            <w:vAlign w:val="center"/>
          </w:tcPr>
          <w:p w14:paraId="54E17D21">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服务项目</w:t>
            </w:r>
          </w:p>
        </w:tc>
        <w:tc>
          <w:tcPr>
            <w:tcW w:w="1666" w:type="pct"/>
            <w:tcBorders>
              <w:top w:val="single" w:color="000000" w:sz="4" w:space="0"/>
              <w:left w:val="single" w:color="000000" w:sz="4" w:space="0"/>
              <w:bottom w:val="single" w:color="000000" w:sz="4" w:space="0"/>
              <w:right w:val="single" w:color="000000" w:sz="4" w:space="0"/>
            </w:tcBorders>
            <w:noWrap/>
            <w:vAlign w:val="center"/>
          </w:tcPr>
          <w:p w14:paraId="2B0B94CC">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服务内容说明</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A81712B">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单价</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（元/次）</w:t>
            </w:r>
          </w:p>
        </w:tc>
        <w:tc>
          <w:tcPr>
            <w:tcW w:w="377" w:type="pct"/>
            <w:tcBorders>
              <w:top w:val="single" w:color="000000" w:sz="4" w:space="0"/>
              <w:left w:val="single" w:color="000000" w:sz="4" w:space="0"/>
              <w:bottom w:val="single" w:color="000000" w:sz="4" w:space="0"/>
              <w:right w:val="single" w:color="000000" w:sz="4" w:space="0"/>
            </w:tcBorders>
            <w:noWrap w:val="0"/>
            <w:vAlign w:val="center"/>
          </w:tcPr>
          <w:p w14:paraId="6E562217">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r>
              <w:rPr>
                <w:rFonts w:hint="eastAsia" w:ascii="宋体" w:hAnsi="宋体" w:eastAsia="宋体" w:cs="宋体"/>
                <w:b/>
                <w:bCs/>
                <w:i w:val="0"/>
                <w:iCs w:val="0"/>
                <w:color w:val="000000"/>
                <w:kern w:val="0"/>
                <w:sz w:val="18"/>
                <w:szCs w:val="18"/>
                <w:highlight w:val="none"/>
                <w:u w:val="none"/>
                <w:lang w:val="en-US" w:eastAsia="zh-CN" w:bidi="ar"/>
              </w:rPr>
              <w:br w:type="textWrapping"/>
            </w:r>
            <w:r>
              <w:rPr>
                <w:rFonts w:hint="eastAsia" w:ascii="宋体" w:hAnsi="宋体" w:eastAsia="宋体" w:cs="宋体"/>
                <w:b/>
                <w:bCs/>
                <w:i w:val="0"/>
                <w:iCs w:val="0"/>
                <w:color w:val="000000"/>
                <w:kern w:val="0"/>
                <w:sz w:val="18"/>
                <w:szCs w:val="18"/>
                <w:highlight w:val="none"/>
                <w:u w:val="none"/>
                <w:lang w:val="en-US" w:eastAsia="zh-CN" w:bidi="ar"/>
              </w:rPr>
              <w:t>（次）</w:t>
            </w: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53FD7B2E">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小计</w:t>
            </w: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31581108">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备注</w:t>
            </w:r>
          </w:p>
        </w:tc>
      </w:tr>
      <w:tr w14:paraId="55C41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3" w:type="pct"/>
            <w:gridSpan w:val="2"/>
            <w:tcBorders>
              <w:top w:val="single" w:color="000000" w:sz="4" w:space="0"/>
              <w:left w:val="single" w:color="000000" w:sz="4" w:space="0"/>
              <w:bottom w:val="single" w:color="000000" w:sz="4" w:space="0"/>
              <w:right w:val="single" w:color="000000" w:sz="4" w:space="0"/>
            </w:tcBorders>
            <w:noWrap/>
            <w:vAlign w:val="center"/>
          </w:tcPr>
          <w:p w14:paraId="0ABBA352">
            <w:pPr>
              <w:keepNext w:val="0"/>
              <w:keepLines w:val="0"/>
              <w:pageBreakBefore w:val="0"/>
              <w:widowControl/>
              <w:suppressLineNumbers w:val="0"/>
              <w:kinsoku/>
              <w:wordWrap/>
              <w:overflowPunct/>
              <w:topLinePunct w:val="0"/>
              <w:bidi w:val="0"/>
              <w:spacing w:line="4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投流费用</w:t>
            </w:r>
          </w:p>
        </w:tc>
        <w:tc>
          <w:tcPr>
            <w:tcW w:w="1666" w:type="pct"/>
            <w:tcBorders>
              <w:top w:val="single" w:color="000000" w:sz="4" w:space="0"/>
              <w:left w:val="single" w:color="000000" w:sz="4" w:space="0"/>
              <w:bottom w:val="single" w:color="000000" w:sz="4" w:space="0"/>
              <w:right w:val="single" w:color="000000" w:sz="4" w:space="0"/>
            </w:tcBorders>
            <w:noWrap w:val="0"/>
            <w:vAlign w:val="center"/>
          </w:tcPr>
          <w:p w14:paraId="18987E37">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制定详细投流策略，选择合适投放渠道、时间和形式，实时监测和分析投流效果，根据数据反馈调整策略</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6B12BC8F">
            <w:pPr>
              <w:pageBreakBefore w:val="0"/>
              <w:kinsoku/>
              <w:wordWrap/>
              <w:overflowPunct/>
              <w:topLinePunct w:val="0"/>
              <w:bidi w:val="0"/>
              <w:spacing w:line="400" w:lineRule="exact"/>
              <w:rPr>
                <w:rFonts w:hint="eastAsia" w:ascii="宋体" w:hAnsi="宋体" w:eastAsia="宋体" w:cs="宋体"/>
                <w:b/>
                <w:bCs/>
                <w:i w:val="0"/>
                <w:iCs w:val="0"/>
                <w:color w:val="000000"/>
                <w:sz w:val="18"/>
                <w:szCs w:val="18"/>
                <w:highlight w:val="none"/>
                <w:u w:val="none"/>
              </w:rPr>
            </w:pPr>
          </w:p>
        </w:tc>
        <w:tc>
          <w:tcPr>
            <w:tcW w:w="377" w:type="pct"/>
            <w:tcBorders>
              <w:top w:val="single" w:color="000000" w:sz="4" w:space="0"/>
              <w:left w:val="single" w:color="000000" w:sz="4" w:space="0"/>
              <w:bottom w:val="single" w:color="000000" w:sz="4" w:space="0"/>
              <w:right w:val="single" w:color="000000" w:sz="4" w:space="0"/>
            </w:tcBorders>
            <w:noWrap/>
            <w:vAlign w:val="center"/>
          </w:tcPr>
          <w:p w14:paraId="1E3EDA85">
            <w:pPr>
              <w:pageBreakBefore w:val="0"/>
              <w:kinsoku/>
              <w:wordWrap/>
              <w:overflowPunct/>
              <w:topLinePunct w:val="0"/>
              <w:bidi w:val="0"/>
              <w:spacing w:line="400" w:lineRule="exact"/>
              <w:rPr>
                <w:rFonts w:hint="eastAsia" w:ascii="宋体" w:hAnsi="宋体" w:eastAsia="宋体" w:cs="宋体"/>
                <w:b/>
                <w:bCs/>
                <w:i w:val="0"/>
                <w:iCs w:val="0"/>
                <w:color w:val="000000"/>
                <w:sz w:val="18"/>
                <w:szCs w:val="18"/>
                <w:highlight w:val="none"/>
                <w:u w:val="none"/>
              </w:rPr>
            </w:pPr>
          </w:p>
        </w:tc>
        <w:tc>
          <w:tcPr>
            <w:tcW w:w="308" w:type="pct"/>
            <w:tcBorders>
              <w:top w:val="single" w:color="000000" w:sz="4" w:space="0"/>
              <w:left w:val="single" w:color="000000" w:sz="4" w:space="0"/>
              <w:bottom w:val="single" w:color="000000" w:sz="4" w:space="0"/>
              <w:right w:val="single" w:color="000000" w:sz="4" w:space="0"/>
            </w:tcBorders>
            <w:noWrap/>
            <w:vAlign w:val="center"/>
          </w:tcPr>
          <w:p w14:paraId="6DF560BC">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c>
          <w:tcPr>
            <w:tcW w:w="732" w:type="pct"/>
            <w:tcBorders>
              <w:top w:val="single" w:color="000000" w:sz="4" w:space="0"/>
              <w:left w:val="single" w:color="000000" w:sz="4" w:space="0"/>
              <w:bottom w:val="single" w:color="000000" w:sz="4" w:space="0"/>
              <w:right w:val="single" w:color="000000" w:sz="4" w:space="0"/>
            </w:tcBorders>
            <w:noWrap/>
            <w:vAlign w:val="center"/>
          </w:tcPr>
          <w:p w14:paraId="6B0DFA29">
            <w:pPr>
              <w:pageBreakBefore w:val="0"/>
              <w:kinsoku/>
              <w:wordWrap/>
              <w:overflowPunct/>
              <w:topLinePunct w:val="0"/>
              <w:bidi w:val="0"/>
              <w:spacing w:line="400" w:lineRule="exact"/>
              <w:jc w:val="center"/>
              <w:rPr>
                <w:rFonts w:hint="eastAsia" w:ascii="宋体" w:hAnsi="宋体" w:eastAsia="宋体" w:cs="宋体"/>
                <w:b/>
                <w:bCs/>
                <w:i w:val="0"/>
                <w:iCs w:val="0"/>
                <w:color w:val="000000"/>
                <w:sz w:val="18"/>
                <w:szCs w:val="18"/>
                <w:highlight w:val="none"/>
                <w:u w:val="none"/>
              </w:rPr>
            </w:pPr>
          </w:p>
        </w:tc>
      </w:tr>
      <w:tr w14:paraId="78805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67" w:type="pct"/>
            <w:gridSpan w:val="6"/>
            <w:tcBorders>
              <w:top w:val="single" w:color="000000" w:sz="4" w:space="0"/>
              <w:left w:val="single" w:color="000000" w:sz="4" w:space="0"/>
              <w:bottom w:val="single" w:color="000000" w:sz="4" w:space="0"/>
              <w:right w:val="single" w:color="000000" w:sz="4" w:space="0"/>
            </w:tcBorders>
            <w:noWrap/>
            <w:vAlign w:val="center"/>
          </w:tcPr>
          <w:p w14:paraId="51404A3A">
            <w:pPr>
              <w:pageBreakBefore w:val="0"/>
              <w:kinsoku/>
              <w:wordWrap/>
              <w:overflowPunct/>
              <w:topLinePunct w:val="0"/>
              <w:bidi w:val="0"/>
              <w:spacing w:line="400" w:lineRule="exact"/>
              <w:jc w:val="left"/>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浮动费用合计（含税）：</w:t>
            </w:r>
          </w:p>
        </w:tc>
        <w:tc>
          <w:tcPr>
            <w:tcW w:w="732" w:type="pct"/>
            <w:tcBorders>
              <w:top w:val="single" w:color="000000" w:sz="4" w:space="0"/>
              <w:left w:val="single" w:color="000000" w:sz="4" w:space="0"/>
              <w:bottom w:val="single" w:color="000000" w:sz="4" w:space="0"/>
              <w:right w:val="single" w:color="000000" w:sz="4" w:space="0"/>
            </w:tcBorders>
            <w:noWrap w:val="0"/>
            <w:vAlign w:val="center"/>
          </w:tcPr>
          <w:p w14:paraId="3CA81217">
            <w:pPr>
              <w:keepNext w:val="0"/>
              <w:keepLines w:val="0"/>
              <w:pageBreakBefore w:val="0"/>
              <w:widowControl/>
              <w:suppressLineNumbers w:val="0"/>
              <w:kinsoku/>
              <w:wordWrap/>
              <w:overflowPunct/>
              <w:topLinePunct w:val="0"/>
              <w:bidi w:val="0"/>
              <w:spacing w:line="400" w:lineRule="exact"/>
              <w:jc w:val="left"/>
              <w:textAlignment w:val="center"/>
              <w:rPr>
                <w:rFonts w:hint="eastAsia" w:ascii="宋体" w:hAnsi="宋体" w:eastAsia="宋体" w:cs="宋体"/>
                <w:i w:val="0"/>
                <w:iCs w:val="0"/>
                <w:color w:val="000000"/>
                <w:sz w:val="18"/>
                <w:szCs w:val="18"/>
                <w:highlight w:val="none"/>
                <w:u w:val="none"/>
              </w:rPr>
            </w:pPr>
          </w:p>
        </w:tc>
      </w:tr>
      <w:tr w14:paraId="6FF4E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90" w:type="pct"/>
            <w:gridSpan w:val="3"/>
            <w:tcBorders>
              <w:top w:val="single" w:color="000000" w:sz="4" w:space="0"/>
              <w:left w:val="single" w:color="000000" w:sz="4" w:space="0"/>
              <w:bottom w:val="single" w:color="000000" w:sz="4" w:space="0"/>
              <w:right w:val="single" w:color="auto" w:sz="4" w:space="0"/>
            </w:tcBorders>
            <w:noWrap/>
            <w:vAlign w:val="center"/>
          </w:tcPr>
          <w:p w14:paraId="53D572E5">
            <w:pPr>
              <w:pageBreakBefore w:val="0"/>
              <w:kinsoku/>
              <w:wordWrap/>
              <w:overflowPunct/>
              <w:topLinePunct w:val="0"/>
              <w:bidi w:val="0"/>
              <w:spacing w:line="400" w:lineRule="exact"/>
              <w:rPr>
                <w:rFonts w:hint="eastAsia" w:ascii="宋体" w:hAnsi="宋体" w:eastAsia="宋体" w:cs="宋体"/>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服务费用合计（含税）：（一）+（二）</w:t>
            </w:r>
          </w:p>
        </w:tc>
        <w:tc>
          <w:tcPr>
            <w:tcW w:w="1909" w:type="pct"/>
            <w:gridSpan w:val="4"/>
            <w:tcBorders>
              <w:top w:val="single" w:color="000000" w:sz="4" w:space="0"/>
              <w:left w:val="single" w:color="auto" w:sz="4" w:space="0"/>
              <w:bottom w:val="single" w:color="000000" w:sz="4" w:space="0"/>
              <w:right w:val="single" w:color="000000" w:sz="4" w:space="0"/>
            </w:tcBorders>
            <w:noWrap/>
            <w:vAlign w:val="center"/>
          </w:tcPr>
          <w:p w14:paraId="6C9BF5C5">
            <w:pPr>
              <w:pageBreakBefore w:val="0"/>
              <w:kinsoku/>
              <w:wordWrap/>
              <w:overflowPunct/>
              <w:topLinePunct w:val="0"/>
              <w:bidi w:val="0"/>
              <w:spacing w:line="400" w:lineRule="exact"/>
              <w:rPr>
                <w:rFonts w:hint="default"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Xxx</w:t>
            </w:r>
          </w:p>
        </w:tc>
      </w:tr>
      <w:tr w14:paraId="1E19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14:paraId="6EC15ADD">
            <w:pPr>
              <w:pageBreakBefore w:val="0"/>
              <w:kinsoku/>
              <w:wordWrap/>
              <w:overflowPunct/>
              <w:topLinePunct w:val="0"/>
              <w:bidi w:val="0"/>
              <w:spacing w:line="400" w:lineRule="exact"/>
              <w:jc w:val="left"/>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cs="宋体"/>
                <w:b/>
                <w:bCs/>
                <w:i w:val="0"/>
                <w:iCs w:val="0"/>
                <w:color w:val="000000"/>
                <w:kern w:val="0"/>
                <w:sz w:val="18"/>
                <w:szCs w:val="18"/>
                <w:highlight w:val="none"/>
                <w:u w:val="none"/>
                <w:lang w:val="en-US" w:eastAsia="zh-CN" w:bidi="ar"/>
              </w:rPr>
              <w:t>增值服务：</w:t>
            </w:r>
          </w:p>
        </w:tc>
      </w:tr>
    </w:tbl>
    <w:p w14:paraId="1BA043D3">
      <w:pPr>
        <w:pStyle w:val="23"/>
        <w:spacing w:line="500" w:lineRule="exact"/>
        <w:rPr>
          <w:rFonts w:ascii="Times New Roman" w:hAnsi="Times New Roman" w:cs="Times New Roman"/>
          <w:color w:val="auto"/>
          <w:highlight w:val="none"/>
          <w:u w:val="single"/>
        </w:rPr>
      </w:pPr>
      <w:r>
        <w:rPr>
          <w:rFonts w:ascii="Times New Roman" w:hAnsi="Times New Roman" w:cs="Times New Roman"/>
          <w:color w:val="auto"/>
          <w:highlight w:val="none"/>
        </w:rPr>
        <w:t>法定代表人或法定代表人授权代表（签字）:</w:t>
      </w:r>
      <w:r>
        <w:rPr>
          <w:rFonts w:ascii="Times New Roman" w:hAnsi="Times New Roman" w:cs="Times New Roman"/>
          <w:color w:val="auto"/>
          <w:highlight w:val="none"/>
          <w:u w:val="single"/>
        </w:rPr>
        <w:t xml:space="preserve">              </w:t>
      </w:r>
    </w:p>
    <w:p w14:paraId="289147EB">
      <w:pPr>
        <w:pStyle w:val="23"/>
        <w:spacing w:line="500" w:lineRule="exact"/>
        <w:rPr>
          <w:rFonts w:ascii="Times New Roman" w:hAnsi="Times New Roman" w:cs="Times New Roman"/>
          <w:color w:val="auto"/>
          <w:highlight w:val="none"/>
          <w:u w:val="single"/>
        </w:rPr>
      </w:pPr>
      <w:r>
        <w:rPr>
          <w:rFonts w:hint="eastAsia" w:ascii="Times New Roman" w:hAnsi="Times New Roman" w:cs="Times New Roman"/>
          <w:color w:val="auto"/>
          <w:highlight w:val="none"/>
        </w:rPr>
        <w:t>竞标人</w:t>
      </w:r>
      <w:r>
        <w:rPr>
          <w:rFonts w:ascii="Times New Roman" w:hAnsi="Times New Roman" w:cs="Times New Roman"/>
          <w:color w:val="auto"/>
          <w:highlight w:val="none"/>
        </w:rPr>
        <w:t>名称（签章）：</w:t>
      </w:r>
      <w:r>
        <w:rPr>
          <w:rFonts w:ascii="Times New Roman" w:hAnsi="Times New Roman" w:cs="Times New Roman"/>
          <w:color w:val="auto"/>
          <w:highlight w:val="none"/>
          <w:u w:val="single"/>
        </w:rPr>
        <w:t xml:space="preserve">       </w:t>
      </w:r>
    </w:p>
    <w:p w14:paraId="6F7C9184">
      <w:pPr>
        <w:pStyle w:val="23"/>
        <w:spacing w:line="500" w:lineRule="exact"/>
        <w:rPr>
          <w:rFonts w:ascii="Times New Roman" w:hAnsi="Times New Roman" w:cs="Times New Roman"/>
          <w:color w:val="auto"/>
          <w:highlight w:val="none"/>
          <w:u w:val="single"/>
        </w:rPr>
      </w:pPr>
      <w:r>
        <w:rPr>
          <w:rFonts w:ascii="Times New Roman" w:hAnsi="Times New Roman" w:cs="Times New Roman"/>
          <w:color w:val="auto"/>
          <w:highlight w:val="none"/>
        </w:rPr>
        <w:t>报价时间：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日 </w:t>
      </w:r>
    </w:p>
    <w:p w14:paraId="6C5A6315">
      <w:pPr>
        <w:adjustRightInd w:val="0"/>
        <w:snapToGrid w:val="0"/>
        <w:spacing w:line="300" w:lineRule="auto"/>
        <w:ind w:left="-88" w:leftChars="-42"/>
        <w:rPr>
          <w:color w:val="auto"/>
          <w:szCs w:val="21"/>
          <w:highlight w:val="none"/>
        </w:rPr>
      </w:pPr>
      <w:r>
        <w:rPr>
          <w:color w:val="auto"/>
          <w:szCs w:val="21"/>
          <w:highlight w:val="none"/>
        </w:rPr>
        <w:br w:type="page"/>
      </w:r>
    </w:p>
    <w:p w14:paraId="38E53102">
      <w:pPr>
        <w:pStyle w:val="23"/>
        <w:spacing w:line="300" w:lineRule="auto"/>
        <w:rPr>
          <w:rFonts w:ascii="Times New Roman" w:hAnsi="Times New Roman" w:cs="Times New Roman"/>
          <w:color w:val="auto"/>
          <w:highlight w:val="none"/>
        </w:rPr>
      </w:pPr>
      <w:r>
        <w:rPr>
          <w:rFonts w:ascii="Times New Roman" w:hAnsi="Times New Roman" w:cs="Times New Roman"/>
          <w:color w:val="auto"/>
          <w:highlight w:val="none"/>
        </w:rPr>
        <w:t>附件三</w:t>
      </w:r>
    </w:p>
    <w:p w14:paraId="2F55F402">
      <w:pPr>
        <w:adjustRightInd w:val="0"/>
        <w:snapToGrid w:val="0"/>
        <w:spacing w:line="300" w:lineRule="auto"/>
        <w:ind w:left="-88" w:leftChars="-42"/>
        <w:jc w:val="center"/>
        <w:rPr>
          <w:color w:val="auto"/>
          <w:szCs w:val="21"/>
          <w:highlight w:val="none"/>
        </w:rPr>
      </w:pPr>
      <w:r>
        <w:rPr>
          <w:color w:val="auto"/>
          <w:szCs w:val="21"/>
          <w:highlight w:val="none"/>
        </w:rPr>
        <w:t>3.</w:t>
      </w:r>
      <w:r>
        <w:rPr>
          <w:color w:val="auto"/>
          <w:highlight w:val="none"/>
        </w:rPr>
        <w:t>服务方案</w:t>
      </w:r>
      <w:r>
        <w:rPr>
          <w:color w:val="auto"/>
          <w:szCs w:val="21"/>
          <w:highlight w:val="none"/>
        </w:rPr>
        <w:t>（根据竞争性磋商采购文件中的要求或评分细则内容要求提供）</w:t>
      </w:r>
    </w:p>
    <w:p w14:paraId="6B3E8520">
      <w:pPr>
        <w:spacing w:line="300" w:lineRule="auto"/>
        <w:rPr>
          <w:color w:val="auto"/>
          <w:szCs w:val="21"/>
          <w:highlight w:val="none"/>
        </w:rPr>
      </w:pPr>
      <w:r>
        <w:rPr>
          <w:color w:val="auto"/>
          <w:szCs w:val="21"/>
          <w:highlight w:val="none"/>
        </w:rPr>
        <w:t>采购项目名称:</w:t>
      </w:r>
      <w:r>
        <w:rPr>
          <w:color w:val="auto"/>
          <w:szCs w:val="21"/>
          <w:highlight w:val="none"/>
          <w:u w:val="single"/>
        </w:rPr>
        <w:t xml:space="preserve">                 </w:t>
      </w:r>
      <w:r>
        <w:rPr>
          <w:color w:val="auto"/>
          <w:szCs w:val="21"/>
          <w:highlight w:val="none"/>
        </w:rPr>
        <w:t xml:space="preserve">    </w:t>
      </w:r>
    </w:p>
    <w:p w14:paraId="5762E96B">
      <w:pPr>
        <w:spacing w:line="500" w:lineRule="exact"/>
        <w:ind w:firstLine="630" w:firstLineChars="300"/>
        <w:rPr>
          <w:color w:val="auto"/>
          <w:szCs w:val="21"/>
          <w:highlight w:val="none"/>
        </w:rPr>
      </w:pPr>
    </w:p>
    <w:p w14:paraId="14D1FBF0">
      <w:pPr>
        <w:spacing w:line="500" w:lineRule="exact"/>
        <w:ind w:firstLine="630" w:firstLineChars="300"/>
        <w:rPr>
          <w:color w:val="auto"/>
          <w:szCs w:val="21"/>
          <w:highlight w:val="none"/>
        </w:rPr>
      </w:pPr>
    </w:p>
    <w:p w14:paraId="09E29033">
      <w:pPr>
        <w:spacing w:line="500" w:lineRule="exact"/>
        <w:ind w:firstLine="630" w:firstLineChars="300"/>
        <w:rPr>
          <w:color w:val="auto"/>
          <w:szCs w:val="21"/>
          <w:highlight w:val="none"/>
        </w:rPr>
      </w:pPr>
    </w:p>
    <w:p w14:paraId="50E62133">
      <w:pPr>
        <w:spacing w:line="500" w:lineRule="exact"/>
        <w:ind w:firstLine="630" w:firstLineChars="300"/>
        <w:rPr>
          <w:color w:val="auto"/>
          <w:szCs w:val="21"/>
          <w:highlight w:val="none"/>
        </w:rPr>
      </w:pPr>
    </w:p>
    <w:p w14:paraId="368FDB35">
      <w:pPr>
        <w:spacing w:line="500" w:lineRule="exact"/>
        <w:ind w:firstLine="630" w:firstLineChars="300"/>
        <w:rPr>
          <w:color w:val="auto"/>
          <w:szCs w:val="21"/>
          <w:highlight w:val="none"/>
        </w:rPr>
      </w:pPr>
    </w:p>
    <w:p w14:paraId="7853F97F">
      <w:pPr>
        <w:spacing w:line="500" w:lineRule="exact"/>
        <w:ind w:firstLine="630" w:firstLineChars="300"/>
        <w:rPr>
          <w:color w:val="auto"/>
          <w:szCs w:val="21"/>
          <w:highlight w:val="none"/>
        </w:rPr>
      </w:pPr>
    </w:p>
    <w:p w14:paraId="569454A3">
      <w:pPr>
        <w:spacing w:line="500" w:lineRule="exact"/>
        <w:ind w:firstLine="630" w:firstLineChars="300"/>
        <w:rPr>
          <w:color w:val="auto"/>
          <w:szCs w:val="21"/>
          <w:highlight w:val="none"/>
        </w:rPr>
      </w:pPr>
    </w:p>
    <w:p w14:paraId="174C2C5E">
      <w:pPr>
        <w:spacing w:line="500" w:lineRule="exact"/>
        <w:ind w:firstLine="630" w:firstLineChars="300"/>
        <w:rPr>
          <w:color w:val="auto"/>
          <w:szCs w:val="21"/>
          <w:highlight w:val="none"/>
        </w:rPr>
      </w:pPr>
    </w:p>
    <w:p w14:paraId="4EA8176F">
      <w:pPr>
        <w:spacing w:line="500" w:lineRule="exact"/>
        <w:ind w:firstLine="630" w:firstLineChars="300"/>
        <w:rPr>
          <w:color w:val="auto"/>
          <w:szCs w:val="21"/>
          <w:highlight w:val="none"/>
        </w:rPr>
      </w:pPr>
    </w:p>
    <w:p w14:paraId="0CEEDDC9">
      <w:pPr>
        <w:spacing w:line="500" w:lineRule="exact"/>
        <w:ind w:firstLine="630" w:firstLineChars="300"/>
        <w:rPr>
          <w:color w:val="auto"/>
          <w:szCs w:val="21"/>
          <w:highlight w:val="none"/>
        </w:rPr>
      </w:pPr>
    </w:p>
    <w:p w14:paraId="180B47D9">
      <w:pPr>
        <w:spacing w:line="500" w:lineRule="exact"/>
        <w:ind w:firstLine="630" w:firstLineChars="300"/>
        <w:rPr>
          <w:color w:val="auto"/>
          <w:szCs w:val="21"/>
          <w:highlight w:val="none"/>
        </w:rPr>
      </w:pPr>
    </w:p>
    <w:p w14:paraId="33B5EC53">
      <w:pPr>
        <w:spacing w:line="500" w:lineRule="exact"/>
        <w:ind w:firstLine="630" w:firstLineChars="300"/>
        <w:rPr>
          <w:color w:val="auto"/>
          <w:szCs w:val="21"/>
          <w:highlight w:val="none"/>
        </w:rPr>
      </w:pPr>
    </w:p>
    <w:p w14:paraId="5668234B">
      <w:pPr>
        <w:adjustRightInd w:val="0"/>
        <w:snapToGrid w:val="0"/>
        <w:spacing w:line="500" w:lineRule="exact"/>
        <w:rPr>
          <w:color w:val="auto"/>
          <w:szCs w:val="21"/>
          <w:highlight w:val="none"/>
        </w:rPr>
      </w:pPr>
    </w:p>
    <w:p w14:paraId="0F887408">
      <w:pPr>
        <w:adjustRightInd w:val="0"/>
        <w:snapToGrid w:val="0"/>
        <w:spacing w:line="500" w:lineRule="exact"/>
        <w:ind w:firstLine="1785" w:firstLineChars="850"/>
        <w:jc w:val="right"/>
        <w:rPr>
          <w:color w:val="auto"/>
          <w:szCs w:val="21"/>
          <w:highlight w:val="none"/>
          <w:u w:val="single"/>
        </w:rPr>
      </w:pPr>
      <w:r>
        <w:rPr>
          <w:color w:val="auto"/>
          <w:szCs w:val="21"/>
          <w:highlight w:val="none"/>
        </w:rPr>
        <w:t>法定代表人或法定代表人授权代表签字：</w:t>
      </w:r>
      <w:r>
        <w:rPr>
          <w:color w:val="auto"/>
          <w:szCs w:val="21"/>
          <w:highlight w:val="none"/>
          <w:u w:val="single"/>
        </w:rPr>
        <w:t xml:space="preserve">              </w:t>
      </w:r>
    </w:p>
    <w:p w14:paraId="7E36A94F">
      <w:pPr>
        <w:pStyle w:val="23"/>
        <w:spacing w:line="500" w:lineRule="exact"/>
        <w:ind w:firstLine="4935" w:firstLineChars="2350"/>
        <w:jc w:val="right"/>
        <w:rPr>
          <w:rFonts w:ascii="Times New Roman" w:hAnsi="Times New Roman" w:cs="Times New Roman"/>
          <w:color w:val="auto"/>
          <w:highlight w:val="none"/>
          <w:u w:val="single"/>
        </w:rPr>
      </w:pP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14:paraId="078C139A">
      <w:pPr>
        <w:adjustRightInd w:val="0"/>
        <w:snapToGrid w:val="0"/>
        <w:spacing w:line="300" w:lineRule="auto"/>
        <w:jc w:val="right"/>
        <w:rPr>
          <w:color w:val="auto"/>
          <w:szCs w:val="21"/>
          <w:highlight w:val="none"/>
          <w:u w:val="single"/>
        </w:rPr>
      </w:pPr>
    </w:p>
    <w:p w14:paraId="441246D1">
      <w:pPr>
        <w:spacing w:line="300" w:lineRule="auto"/>
        <w:rPr>
          <w:color w:val="auto"/>
          <w:szCs w:val="21"/>
          <w:highlight w:val="none"/>
        </w:rPr>
      </w:pPr>
    </w:p>
    <w:p w14:paraId="4B1E6461">
      <w:pPr>
        <w:spacing w:line="300" w:lineRule="auto"/>
        <w:rPr>
          <w:color w:val="auto"/>
          <w:szCs w:val="21"/>
          <w:highlight w:val="none"/>
        </w:rPr>
      </w:pPr>
    </w:p>
    <w:p w14:paraId="40F00F69">
      <w:pPr>
        <w:spacing w:line="300" w:lineRule="auto"/>
        <w:rPr>
          <w:color w:val="auto"/>
          <w:szCs w:val="21"/>
          <w:highlight w:val="none"/>
        </w:rPr>
      </w:pPr>
    </w:p>
    <w:p w14:paraId="7ABCCDD1">
      <w:pPr>
        <w:spacing w:line="300" w:lineRule="auto"/>
        <w:rPr>
          <w:color w:val="auto"/>
          <w:szCs w:val="21"/>
          <w:highlight w:val="none"/>
        </w:rPr>
      </w:pPr>
    </w:p>
    <w:p w14:paraId="1DA9B1BC">
      <w:pPr>
        <w:spacing w:line="300" w:lineRule="auto"/>
        <w:rPr>
          <w:color w:val="auto"/>
          <w:szCs w:val="21"/>
          <w:highlight w:val="none"/>
        </w:rPr>
      </w:pPr>
    </w:p>
    <w:p w14:paraId="7ED0CE0F">
      <w:pPr>
        <w:spacing w:line="300" w:lineRule="auto"/>
        <w:rPr>
          <w:color w:val="auto"/>
          <w:szCs w:val="21"/>
          <w:highlight w:val="none"/>
        </w:rPr>
      </w:pPr>
    </w:p>
    <w:p w14:paraId="71084B93">
      <w:pPr>
        <w:spacing w:line="300" w:lineRule="auto"/>
        <w:rPr>
          <w:color w:val="auto"/>
          <w:szCs w:val="21"/>
          <w:highlight w:val="none"/>
        </w:rPr>
      </w:pPr>
    </w:p>
    <w:p w14:paraId="63E671B8">
      <w:pPr>
        <w:spacing w:line="300" w:lineRule="auto"/>
        <w:rPr>
          <w:color w:val="auto"/>
          <w:szCs w:val="21"/>
          <w:highlight w:val="none"/>
        </w:rPr>
      </w:pPr>
      <w:r>
        <w:rPr>
          <w:color w:val="auto"/>
          <w:szCs w:val="21"/>
          <w:highlight w:val="none"/>
        </w:rPr>
        <w:br w:type="page"/>
      </w:r>
    </w:p>
    <w:p w14:paraId="434692DE">
      <w:pPr>
        <w:spacing w:line="300" w:lineRule="auto"/>
        <w:rPr>
          <w:color w:val="auto"/>
          <w:szCs w:val="21"/>
          <w:highlight w:val="none"/>
        </w:rPr>
      </w:pPr>
      <w:r>
        <w:rPr>
          <w:color w:val="auto"/>
          <w:szCs w:val="21"/>
          <w:highlight w:val="none"/>
        </w:rPr>
        <w:t>附件四</w:t>
      </w:r>
    </w:p>
    <w:p w14:paraId="6899A2EE">
      <w:pPr>
        <w:spacing w:line="5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商务、技术响应、偏离情况说明表</w:t>
      </w:r>
    </w:p>
    <w:p w14:paraId="47AF5860">
      <w:pPr>
        <w:pStyle w:val="4"/>
        <w:rPr>
          <w:color w:val="auto"/>
          <w:highlight w:val="none"/>
        </w:rPr>
      </w:pPr>
    </w:p>
    <w:p w14:paraId="1C4E50D2">
      <w:pPr>
        <w:spacing w:line="300" w:lineRule="auto"/>
        <w:rPr>
          <w:color w:val="auto"/>
          <w:szCs w:val="21"/>
          <w:highlight w:val="none"/>
        </w:rPr>
      </w:pPr>
      <w:r>
        <w:rPr>
          <w:color w:val="auto"/>
          <w:szCs w:val="21"/>
          <w:highlight w:val="none"/>
        </w:rPr>
        <w:t>采购项目名称:</w:t>
      </w:r>
      <w:r>
        <w:rPr>
          <w:color w:val="auto"/>
          <w:szCs w:val="21"/>
          <w:highlight w:val="none"/>
          <w:u w:val="single"/>
        </w:rPr>
        <w:t xml:space="preserve">                 </w:t>
      </w:r>
      <w:r>
        <w:rPr>
          <w:color w:val="auto"/>
          <w:szCs w:val="21"/>
          <w:highlight w:val="none"/>
        </w:rPr>
        <w:t xml:space="preserve">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14:paraId="232001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77" w:type="dxa"/>
            <w:gridSpan w:val="6"/>
            <w:noWrap w:val="0"/>
            <w:vAlign w:val="top"/>
          </w:tcPr>
          <w:p w14:paraId="5C07D3DD">
            <w:pPr>
              <w:adjustRightInd w:val="0"/>
              <w:snapToGrid w:val="0"/>
              <w:spacing w:line="300" w:lineRule="auto"/>
              <w:jc w:val="center"/>
              <w:rPr>
                <w:b/>
                <w:color w:val="auto"/>
                <w:szCs w:val="21"/>
                <w:highlight w:val="none"/>
              </w:rPr>
            </w:pPr>
            <w:bookmarkStart w:id="17" w:name="_Toc479693561"/>
            <w:r>
              <w:rPr>
                <w:b/>
                <w:color w:val="auto"/>
                <w:szCs w:val="21"/>
                <w:highlight w:val="none"/>
              </w:rPr>
              <w:t>商务部分</w:t>
            </w:r>
            <w:bookmarkEnd w:id="17"/>
          </w:p>
        </w:tc>
      </w:tr>
      <w:tr w14:paraId="102E25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70A27ECE">
            <w:pPr>
              <w:jc w:val="center"/>
              <w:rPr>
                <w:color w:val="auto"/>
                <w:highlight w:val="none"/>
              </w:rPr>
            </w:pPr>
            <w:r>
              <w:rPr>
                <w:color w:val="auto"/>
                <w:highlight w:val="none"/>
              </w:rPr>
              <w:t>序号</w:t>
            </w:r>
          </w:p>
        </w:tc>
        <w:tc>
          <w:tcPr>
            <w:tcW w:w="1600" w:type="dxa"/>
            <w:noWrap w:val="0"/>
            <w:vAlign w:val="center"/>
          </w:tcPr>
          <w:p w14:paraId="230E96C8">
            <w:pPr>
              <w:adjustRightInd w:val="0"/>
              <w:snapToGrid w:val="0"/>
              <w:spacing w:line="300" w:lineRule="auto"/>
              <w:jc w:val="center"/>
              <w:rPr>
                <w:color w:val="auto"/>
                <w:szCs w:val="21"/>
                <w:highlight w:val="none"/>
              </w:rPr>
            </w:pPr>
            <w:r>
              <w:rPr>
                <w:color w:val="auto"/>
                <w:szCs w:val="21"/>
                <w:highlight w:val="none"/>
              </w:rPr>
              <w:t>事项</w:t>
            </w:r>
          </w:p>
        </w:tc>
        <w:tc>
          <w:tcPr>
            <w:tcW w:w="2944" w:type="dxa"/>
            <w:noWrap w:val="0"/>
            <w:vAlign w:val="center"/>
          </w:tcPr>
          <w:p w14:paraId="473BFD47">
            <w:pPr>
              <w:adjustRightInd w:val="0"/>
              <w:snapToGrid w:val="0"/>
              <w:spacing w:line="300" w:lineRule="auto"/>
              <w:jc w:val="center"/>
              <w:rPr>
                <w:color w:val="auto"/>
                <w:szCs w:val="21"/>
                <w:highlight w:val="none"/>
              </w:rPr>
            </w:pPr>
            <w:bookmarkStart w:id="18" w:name="_Toc479693557"/>
            <w:r>
              <w:rPr>
                <w:color w:val="auto"/>
                <w:szCs w:val="21"/>
                <w:highlight w:val="none"/>
              </w:rPr>
              <w:t>竞争性磋商文件要求</w:t>
            </w:r>
            <w:bookmarkEnd w:id="18"/>
          </w:p>
        </w:tc>
        <w:tc>
          <w:tcPr>
            <w:tcW w:w="3087" w:type="dxa"/>
            <w:noWrap w:val="0"/>
            <w:vAlign w:val="center"/>
          </w:tcPr>
          <w:p w14:paraId="2159DC9F">
            <w:pPr>
              <w:adjustRightInd w:val="0"/>
              <w:snapToGrid w:val="0"/>
              <w:spacing w:line="300" w:lineRule="auto"/>
              <w:jc w:val="center"/>
              <w:rPr>
                <w:color w:val="auto"/>
                <w:szCs w:val="21"/>
                <w:highlight w:val="none"/>
              </w:rPr>
            </w:pPr>
            <w:bookmarkStart w:id="19" w:name="_Toc479693558"/>
            <w:r>
              <w:rPr>
                <w:color w:val="auto"/>
                <w:szCs w:val="21"/>
                <w:highlight w:val="none"/>
              </w:rPr>
              <w:t>竞争性磋商响应文件具体响应</w:t>
            </w:r>
            <w:bookmarkEnd w:id="19"/>
          </w:p>
        </w:tc>
        <w:tc>
          <w:tcPr>
            <w:tcW w:w="914" w:type="dxa"/>
            <w:noWrap w:val="0"/>
            <w:vAlign w:val="center"/>
          </w:tcPr>
          <w:p w14:paraId="0A43E00F">
            <w:pPr>
              <w:adjustRightInd w:val="0"/>
              <w:snapToGrid w:val="0"/>
              <w:spacing w:line="300" w:lineRule="auto"/>
              <w:jc w:val="center"/>
              <w:rPr>
                <w:color w:val="auto"/>
                <w:szCs w:val="21"/>
                <w:highlight w:val="none"/>
              </w:rPr>
            </w:pPr>
            <w:bookmarkStart w:id="20" w:name="_Toc479693559"/>
            <w:r>
              <w:rPr>
                <w:color w:val="auto"/>
                <w:szCs w:val="21"/>
                <w:highlight w:val="none"/>
              </w:rPr>
              <w:t>响应/偏离</w:t>
            </w:r>
            <w:bookmarkEnd w:id="20"/>
          </w:p>
        </w:tc>
        <w:tc>
          <w:tcPr>
            <w:tcW w:w="797" w:type="dxa"/>
            <w:noWrap w:val="0"/>
            <w:vAlign w:val="center"/>
          </w:tcPr>
          <w:p w14:paraId="174F20D3">
            <w:pPr>
              <w:adjustRightInd w:val="0"/>
              <w:snapToGrid w:val="0"/>
              <w:spacing w:line="300" w:lineRule="auto"/>
              <w:jc w:val="center"/>
              <w:rPr>
                <w:color w:val="auto"/>
                <w:szCs w:val="21"/>
                <w:highlight w:val="none"/>
              </w:rPr>
            </w:pPr>
            <w:bookmarkStart w:id="21" w:name="_Toc479693560"/>
            <w:r>
              <w:rPr>
                <w:color w:val="auto"/>
                <w:szCs w:val="21"/>
                <w:highlight w:val="none"/>
              </w:rPr>
              <w:t>说明</w:t>
            </w:r>
            <w:bookmarkEnd w:id="21"/>
          </w:p>
        </w:tc>
      </w:tr>
      <w:tr w14:paraId="283DF1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noWrap w:val="0"/>
            <w:vAlign w:val="center"/>
          </w:tcPr>
          <w:p w14:paraId="37C1A7A3">
            <w:pPr>
              <w:adjustRightInd w:val="0"/>
              <w:snapToGrid w:val="0"/>
              <w:spacing w:line="300" w:lineRule="auto"/>
              <w:jc w:val="center"/>
              <w:rPr>
                <w:color w:val="auto"/>
                <w:szCs w:val="21"/>
                <w:highlight w:val="none"/>
              </w:rPr>
            </w:pPr>
            <w:r>
              <w:rPr>
                <w:color w:val="auto"/>
                <w:szCs w:val="21"/>
                <w:highlight w:val="none"/>
              </w:rPr>
              <w:t>1</w:t>
            </w:r>
          </w:p>
        </w:tc>
        <w:tc>
          <w:tcPr>
            <w:tcW w:w="1600" w:type="dxa"/>
            <w:noWrap w:val="0"/>
            <w:vAlign w:val="center"/>
          </w:tcPr>
          <w:p w14:paraId="2C202077">
            <w:pPr>
              <w:tabs>
                <w:tab w:val="left" w:pos="180"/>
                <w:tab w:val="left" w:pos="1620"/>
              </w:tabs>
              <w:spacing w:line="400" w:lineRule="exact"/>
              <w:rPr>
                <w:color w:val="auto"/>
                <w:szCs w:val="21"/>
                <w:highlight w:val="none"/>
              </w:rPr>
            </w:pPr>
          </w:p>
        </w:tc>
        <w:tc>
          <w:tcPr>
            <w:tcW w:w="2944" w:type="dxa"/>
            <w:noWrap w:val="0"/>
            <w:vAlign w:val="center"/>
          </w:tcPr>
          <w:p w14:paraId="0FF50593">
            <w:pPr>
              <w:adjustRightInd w:val="0"/>
              <w:snapToGrid w:val="0"/>
              <w:spacing w:line="300" w:lineRule="auto"/>
              <w:jc w:val="left"/>
              <w:rPr>
                <w:color w:val="auto"/>
                <w:szCs w:val="21"/>
                <w:highlight w:val="none"/>
              </w:rPr>
            </w:pPr>
          </w:p>
        </w:tc>
        <w:tc>
          <w:tcPr>
            <w:tcW w:w="3087" w:type="dxa"/>
            <w:noWrap w:val="0"/>
            <w:vAlign w:val="center"/>
          </w:tcPr>
          <w:p w14:paraId="5001C624">
            <w:pPr>
              <w:adjustRightInd w:val="0"/>
              <w:snapToGrid w:val="0"/>
              <w:spacing w:line="300" w:lineRule="auto"/>
              <w:jc w:val="center"/>
              <w:rPr>
                <w:color w:val="auto"/>
                <w:szCs w:val="21"/>
                <w:highlight w:val="none"/>
              </w:rPr>
            </w:pPr>
          </w:p>
        </w:tc>
        <w:tc>
          <w:tcPr>
            <w:tcW w:w="914" w:type="dxa"/>
            <w:noWrap w:val="0"/>
            <w:vAlign w:val="center"/>
          </w:tcPr>
          <w:p w14:paraId="1DB0A4F7">
            <w:pPr>
              <w:adjustRightInd w:val="0"/>
              <w:snapToGrid w:val="0"/>
              <w:spacing w:line="300" w:lineRule="auto"/>
              <w:jc w:val="center"/>
              <w:rPr>
                <w:color w:val="auto"/>
                <w:szCs w:val="21"/>
                <w:highlight w:val="none"/>
              </w:rPr>
            </w:pPr>
            <w:r>
              <w:rPr>
                <w:color w:val="auto"/>
                <w:szCs w:val="21"/>
                <w:highlight w:val="none"/>
              </w:rPr>
              <w:t>响应</w:t>
            </w:r>
          </w:p>
        </w:tc>
        <w:tc>
          <w:tcPr>
            <w:tcW w:w="797" w:type="dxa"/>
            <w:noWrap w:val="0"/>
            <w:vAlign w:val="center"/>
          </w:tcPr>
          <w:p w14:paraId="4AE513C1">
            <w:pPr>
              <w:adjustRightInd w:val="0"/>
              <w:snapToGrid w:val="0"/>
              <w:spacing w:line="300" w:lineRule="auto"/>
              <w:jc w:val="center"/>
              <w:rPr>
                <w:color w:val="auto"/>
                <w:szCs w:val="21"/>
                <w:highlight w:val="none"/>
              </w:rPr>
            </w:pPr>
          </w:p>
        </w:tc>
      </w:tr>
      <w:tr w14:paraId="4B004D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7E3F6FEF">
            <w:pPr>
              <w:adjustRightInd w:val="0"/>
              <w:snapToGrid w:val="0"/>
              <w:spacing w:line="300" w:lineRule="auto"/>
              <w:jc w:val="center"/>
              <w:rPr>
                <w:color w:val="auto"/>
                <w:szCs w:val="21"/>
                <w:highlight w:val="none"/>
              </w:rPr>
            </w:pPr>
          </w:p>
        </w:tc>
        <w:tc>
          <w:tcPr>
            <w:tcW w:w="1600" w:type="dxa"/>
            <w:noWrap w:val="0"/>
            <w:vAlign w:val="center"/>
          </w:tcPr>
          <w:p w14:paraId="26FFB3BA">
            <w:pPr>
              <w:spacing w:line="400" w:lineRule="exact"/>
              <w:rPr>
                <w:color w:val="auto"/>
                <w:szCs w:val="21"/>
                <w:highlight w:val="none"/>
              </w:rPr>
            </w:pPr>
          </w:p>
        </w:tc>
        <w:tc>
          <w:tcPr>
            <w:tcW w:w="2944" w:type="dxa"/>
            <w:noWrap w:val="0"/>
            <w:vAlign w:val="center"/>
          </w:tcPr>
          <w:p w14:paraId="2A118430">
            <w:pPr>
              <w:adjustRightInd w:val="0"/>
              <w:snapToGrid w:val="0"/>
              <w:spacing w:line="300" w:lineRule="auto"/>
              <w:jc w:val="left"/>
              <w:rPr>
                <w:color w:val="auto"/>
                <w:szCs w:val="21"/>
                <w:highlight w:val="none"/>
              </w:rPr>
            </w:pPr>
          </w:p>
        </w:tc>
        <w:tc>
          <w:tcPr>
            <w:tcW w:w="3087" w:type="dxa"/>
            <w:noWrap w:val="0"/>
            <w:vAlign w:val="center"/>
          </w:tcPr>
          <w:p w14:paraId="4A345B5F">
            <w:pPr>
              <w:adjustRightInd w:val="0"/>
              <w:snapToGrid w:val="0"/>
              <w:spacing w:line="300" w:lineRule="auto"/>
              <w:jc w:val="center"/>
              <w:rPr>
                <w:color w:val="auto"/>
                <w:szCs w:val="21"/>
                <w:highlight w:val="none"/>
              </w:rPr>
            </w:pPr>
          </w:p>
        </w:tc>
        <w:tc>
          <w:tcPr>
            <w:tcW w:w="914" w:type="dxa"/>
            <w:noWrap w:val="0"/>
            <w:vAlign w:val="center"/>
          </w:tcPr>
          <w:p w14:paraId="6C2081B6">
            <w:pPr>
              <w:adjustRightInd w:val="0"/>
              <w:snapToGrid w:val="0"/>
              <w:spacing w:line="300" w:lineRule="auto"/>
              <w:jc w:val="center"/>
              <w:rPr>
                <w:color w:val="auto"/>
                <w:szCs w:val="21"/>
                <w:highlight w:val="none"/>
              </w:rPr>
            </w:pPr>
          </w:p>
        </w:tc>
        <w:tc>
          <w:tcPr>
            <w:tcW w:w="797" w:type="dxa"/>
            <w:noWrap w:val="0"/>
            <w:vAlign w:val="center"/>
          </w:tcPr>
          <w:p w14:paraId="70E0F803">
            <w:pPr>
              <w:adjustRightInd w:val="0"/>
              <w:snapToGrid w:val="0"/>
              <w:spacing w:line="300" w:lineRule="auto"/>
              <w:jc w:val="center"/>
              <w:rPr>
                <w:color w:val="auto"/>
                <w:szCs w:val="21"/>
                <w:highlight w:val="none"/>
              </w:rPr>
            </w:pPr>
          </w:p>
        </w:tc>
      </w:tr>
      <w:tr w14:paraId="2965A7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11EB8F3C">
            <w:pPr>
              <w:adjustRightInd w:val="0"/>
              <w:snapToGrid w:val="0"/>
              <w:spacing w:line="300" w:lineRule="auto"/>
              <w:jc w:val="center"/>
              <w:rPr>
                <w:color w:val="auto"/>
                <w:szCs w:val="21"/>
                <w:highlight w:val="none"/>
              </w:rPr>
            </w:pPr>
          </w:p>
        </w:tc>
        <w:tc>
          <w:tcPr>
            <w:tcW w:w="1600" w:type="dxa"/>
            <w:noWrap w:val="0"/>
            <w:vAlign w:val="center"/>
          </w:tcPr>
          <w:p w14:paraId="43AC6571">
            <w:pPr>
              <w:spacing w:line="400" w:lineRule="exact"/>
              <w:rPr>
                <w:color w:val="auto"/>
                <w:szCs w:val="21"/>
                <w:highlight w:val="none"/>
              </w:rPr>
            </w:pPr>
          </w:p>
        </w:tc>
        <w:tc>
          <w:tcPr>
            <w:tcW w:w="2944" w:type="dxa"/>
            <w:noWrap w:val="0"/>
            <w:vAlign w:val="center"/>
          </w:tcPr>
          <w:p w14:paraId="5583C076">
            <w:pPr>
              <w:adjustRightInd w:val="0"/>
              <w:snapToGrid w:val="0"/>
              <w:spacing w:line="300" w:lineRule="auto"/>
              <w:jc w:val="left"/>
              <w:rPr>
                <w:color w:val="auto"/>
                <w:szCs w:val="21"/>
                <w:highlight w:val="none"/>
              </w:rPr>
            </w:pPr>
          </w:p>
        </w:tc>
        <w:tc>
          <w:tcPr>
            <w:tcW w:w="3087" w:type="dxa"/>
            <w:noWrap w:val="0"/>
            <w:vAlign w:val="center"/>
          </w:tcPr>
          <w:p w14:paraId="0FF0BA51">
            <w:pPr>
              <w:adjustRightInd w:val="0"/>
              <w:snapToGrid w:val="0"/>
              <w:spacing w:line="300" w:lineRule="auto"/>
              <w:jc w:val="center"/>
              <w:rPr>
                <w:color w:val="auto"/>
                <w:szCs w:val="21"/>
                <w:highlight w:val="none"/>
              </w:rPr>
            </w:pPr>
          </w:p>
        </w:tc>
        <w:tc>
          <w:tcPr>
            <w:tcW w:w="914" w:type="dxa"/>
            <w:noWrap w:val="0"/>
            <w:vAlign w:val="center"/>
          </w:tcPr>
          <w:p w14:paraId="778CE09A">
            <w:pPr>
              <w:adjustRightInd w:val="0"/>
              <w:snapToGrid w:val="0"/>
              <w:spacing w:line="300" w:lineRule="auto"/>
              <w:jc w:val="center"/>
              <w:rPr>
                <w:color w:val="auto"/>
                <w:szCs w:val="21"/>
                <w:highlight w:val="none"/>
              </w:rPr>
            </w:pPr>
          </w:p>
        </w:tc>
        <w:tc>
          <w:tcPr>
            <w:tcW w:w="797" w:type="dxa"/>
            <w:noWrap w:val="0"/>
            <w:vAlign w:val="center"/>
          </w:tcPr>
          <w:p w14:paraId="12D65D21">
            <w:pPr>
              <w:adjustRightInd w:val="0"/>
              <w:snapToGrid w:val="0"/>
              <w:spacing w:line="300" w:lineRule="auto"/>
              <w:jc w:val="center"/>
              <w:rPr>
                <w:color w:val="auto"/>
                <w:szCs w:val="21"/>
                <w:highlight w:val="none"/>
              </w:rPr>
            </w:pPr>
          </w:p>
        </w:tc>
      </w:tr>
      <w:tr w14:paraId="022FDA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5C4F8754">
            <w:pPr>
              <w:adjustRightInd w:val="0"/>
              <w:snapToGrid w:val="0"/>
              <w:spacing w:line="300" w:lineRule="auto"/>
              <w:jc w:val="center"/>
              <w:rPr>
                <w:color w:val="auto"/>
                <w:szCs w:val="21"/>
                <w:highlight w:val="none"/>
              </w:rPr>
            </w:pPr>
          </w:p>
        </w:tc>
        <w:tc>
          <w:tcPr>
            <w:tcW w:w="1600" w:type="dxa"/>
            <w:noWrap w:val="0"/>
            <w:vAlign w:val="center"/>
          </w:tcPr>
          <w:p w14:paraId="3B9D1685">
            <w:pPr>
              <w:adjustRightInd w:val="0"/>
              <w:snapToGrid w:val="0"/>
              <w:spacing w:line="300" w:lineRule="auto"/>
              <w:rPr>
                <w:color w:val="auto"/>
                <w:highlight w:val="none"/>
              </w:rPr>
            </w:pPr>
          </w:p>
        </w:tc>
        <w:tc>
          <w:tcPr>
            <w:tcW w:w="2944" w:type="dxa"/>
            <w:noWrap w:val="0"/>
            <w:vAlign w:val="center"/>
          </w:tcPr>
          <w:p w14:paraId="1D7AB7BB">
            <w:pPr>
              <w:adjustRightInd w:val="0"/>
              <w:snapToGrid w:val="0"/>
              <w:spacing w:line="300" w:lineRule="auto"/>
              <w:jc w:val="left"/>
              <w:rPr>
                <w:color w:val="auto"/>
                <w:highlight w:val="none"/>
              </w:rPr>
            </w:pPr>
          </w:p>
        </w:tc>
        <w:tc>
          <w:tcPr>
            <w:tcW w:w="3087" w:type="dxa"/>
            <w:noWrap w:val="0"/>
            <w:vAlign w:val="center"/>
          </w:tcPr>
          <w:p w14:paraId="50B69E64">
            <w:pPr>
              <w:adjustRightInd w:val="0"/>
              <w:snapToGrid w:val="0"/>
              <w:spacing w:line="300" w:lineRule="auto"/>
              <w:jc w:val="center"/>
              <w:rPr>
                <w:color w:val="auto"/>
                <w:szCs w:val="21"/>
                <w:highlight w:val="none"/>
              </w:rPr>
            </w:pPr>
          </w:p>
        </w:tc>
        <w:tc>
          <w:tcPr>
            <w:tcW w:w="914" w:type="dxa"/>
            <w:noWrap w:val="0"/>
            <w:vAlign w:val="center"/>
          </w:tcPr>
          <w:p w14:paraId="2B67306C">
            <w:pPr>
              <w:adjustRightInd w:val="0"/>
              <w:snapToGrid w:val="0"/>
              <w:spacing w:line="300" w:lineRule="auto"/>
              <w:jc w:val="center"/>
              <w:rPr>
                <w:color w:val="auto"/>
                <w:szCs w:val="21"/>
                <w:highlight w:val="none"/>
              </w:rPr>
            </w:pPr>
          </w:p>
        </w:tc>
        <w:tc>
          <w:tcPr>
            <w:tcW w:w="797" w:type="dxa"/>
            <w:noWrap w:val="0"/>
            <w:vAlign w:val="center"/>
          </w:tcPr>
          <w:p w14:paraId="7884F770">
            <w:pPr>
              <w:adjustRightInd w:val="0"/>
              <w:snapToGrid w:val="0"/>
              <w:spacing w:line="300" w:lineRule="auto"/>
              <w:jc w:val="center"/>
              <w:rPr>
                <w:color w:val="auto"/>
                <w:szCs w:val="21"/>
                <w:highlight w:val="none"/>
              </w:rPr>
            </w:pPr>
          </w:p>
        </w:tc>
      </w:tr>
      <w:tr w14:paraId="372FC2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76347358">
            <w:pPr>
              <w:adjustRightInd w:val="0"/>
              <w:snapToGrid w:val="0"/>
              <w:spacing w:line="300" w:lineRule="auto"/>
              <w:jc w:val="center"/>
              <w:rPr>
                <w:color w:val="auto"/>
                <w:szCs w:val="21"/>
                <w:highlight w:val="none"/>
              </w:rPr>
            </w:pPr>
            <w:r>
              <w:rPr>
                <w:color w:val="auto"/>
                <w:szCs w:val="21"/>
                <w:highlight w:val="none"/>
              </w:rPr>
              <w:t>…</w:t>
            </w:r>
          </w:p>
        </w:tc>
        <w:tc>
          <w:tcPr>
            <w:tcW w:w="1600" w:type="dxa"/>
            <w:noWrap w:val="0"/>
            <w:vAlign w:val="center"/>
          </w:tcPr>
          <w:p w14:paraId="64C07834">
            <w:pPr>
              <w:adjustRightInd w:val="0"/>
              <w:snapToGrid w:val="0"/>
              <w:spacing w:line="300" w:lineRule="auto"/>
              <w:jc w:val="center"/>
              <w:rPr>
                <w:color w:val="auto"/>
                <w:highlight w:val="none"/>
              </w:rPr>
            </w:pPr>
            <w:r>
              <w:rPr>
                <w:color w:val="auto"/>
                <w:highlight w:val="none"/>
              </w:rPr>
              <w:t>…</w:t>
            </w:r>
          </w:p>
        </w:tc>
        <w:tc>
          <w:tcPr>
            <w:tcW w:w="2944" w:type="dxa"/>
            <w:noWrap w:val="0"/>
            <w:vAlign w:val="center"/>
          </w:tcPr>
          <w:p w14:paraId="1EB0F2DA">
            <w:pPr>
              <w:adjustRightInd w:val="0"/>
              <w:snapToGrid w:val="0"/>
              <w:spacing w:line="300" w:lineRule="auto"/>
              <w:jc w:val="center"/>
              <w:rPr>
                <w:color w:val="auto"/>
                <w:szCs w:val="21"/>
                <w:highlight w:val="none"/>
              </w:rPr>
            </w:pPr>
            <w:r>
              <w:rPr>
                <w:color w:val="auto"/>
                <w:szCs w:val="21"/>
                <w:highlight w:val="none"/>
              </w:rPr>
              <w:t>…</w:t>
            </w:r>
          </w:p>
        </w:tc>
        <w:tc>
          <w:tcPr>
            <w:tcW w:w="3087" w:type="dxa"/>
            <w:noWrap w:val="0"/>
            <w:vAlign w:val="center"/>
          </w:tcPr>
          <w:p w14:paraId="11BA9506">
            <w:pPr>
              <w:adjustRightInd w:val="0"/>
              <w:snapToGrid w:val="0"/>
              <w:spacing w:line="300" w:lineRule="auto"/>
              <w:jc w:val="center"/>
              <w:rPr>
                <w:color w:val="auto"/>
                <w:highlight w:val="none"/>
              </w:rPr>
            </w:pPr>
            <w:r>
              <w:rPr>
                <w:color w:val="auto"/>
                <w:highlight w:val="none"/>
              </w:rPr>
              <w:t>…</w:t>
            </w:r>
          </w:p>
        </w:tc>
        <w:tc>
          <w:tcPr>
            <w:tcW w:w="914" w:type="dxa"/>
            <w:noWrap w:val="0"/>
            <w:vAlign w:val="center"/>
          </w:tcPr>
          <w:p w14:paraId="5F1489A5">
            <w:pPr>
              <w:adjustRightInd w:val="0"/>
              <w:snapToGrid w:val="0"/>
              <w:spacing w:line="300" w:lineRule="auto"/>
              <w:jc w:val="center"/>
              <w:rPr>
                <w:color w:val="auto"/>
                <w:szCs w:val="21"/>
                <w:highlight w:val="none"/>
              </w:rPr>
            </w:pPr>
            <w:r>
              <w:rPr>
                <w:color w:val="auto"/>
                <w:szCs w:val="21"/>
                <w:highlight w:val="none"/>
              </w:rPr>
              <w:t>…</w:t>
            </w:r>
          </w:p>
        </w:tc>
        <w:tc>
          <w:tcPr>
            <w:tcW w:w="797" w:type="dxa"/>
            <w:noWrap w:val="0"/>
            <w:vAlign w:val="center"/>
          </w:tcPr>
          <w:p w14:paraId="76F05ED0">
            <w:pPr>
              <w:adjustRightInd w:val="0"/>
              <w:snapToGrid w:val="0"/>
              <w:spacing w:line="300" w:lineRule="auto"/>
              <w:jc w:val="center"/>
              <w:rPr>
                <w:color w:val="auto"/>
                <w:highlight w:val="none"/>
              </w:rPr>
            </w:pPr>
            <w:r>
              <w:rPr>
                <w:color w:val="auto"/>
                <w:highlight w:val="none"/>
              </w:rPr>
              <w:t>…</w:t>
            </w:r>
          </w:p>
        </w:tc>
      </w:tr>
    </w:tbl>
    <w:p w14:paraId="793CFA96">
      <w:pPr>
        <w:pStyle w:val="113"/>
        <w:adjustRightInd w:val="0"/>
        <w:snapToGrid w:val="0"/>
        <w:spacing w:line="240" w:lineRule="exact"/>
        <w:ind w:firstLine="420"/>
        <w:rPr>
          <w:rFonts w:ascii="Times New Roman" w:hAnsi="Times New Roman"/>
          <w:color w:val="auto"/>
          <w:sz w:val="21"/>
          <w:szCs w:val="21"/>
          <w:highlight w:val="none"/>
        </w:rPr>
      </w:pPr>
    </w:p>
    <w:p w14:paraId="10C31882">
      <w:pPr>
        <w:pStyle w:val="113"/>
        <w:adjustRightInd w:val="0"/>
        <w:snapToGrid w:val="0"/>
        <w:spacing w:line="240" w:lineRule="exact"/>
        <w:ind w:firstLine="420"/>
        <w:rPr>
          <w:rFonts w:ascii="Times New Roman" w:hAnsi="Times New Roman"/>
          <w:color w:val="auto"/>
          <w:sz w:val="21"/>
          <w:szCs w:val="21"/>
          <w:highlight w:val="none"/>
        </w:rPr>
      </w:pPr>
    </w:p>
    <w:p w14:paraId="04E95939">
      <w:pPr>
        <w:pStyle w:val="113"/>
        <w:adjustRightInd w:val="0"/>
        <w:snapToGrid w:val="0"/>
        <w:spacing w:line="240" w:lineRule="exact"/>
        <w:ind w:firstLine="420"/>
        <w:rPr>
          <w:rFonts w:ascii="Times New Roman" w:hAnsi="Times New Roman"/>
          <w:color w:val="auto"/>
          <w:sz w:val="21"/>
          <w:szCs w:val="21"/>
          <w:highlight w:val="none"/>
        </w:rPr>
      </w:pPr>
    </w:p>
    <w:p w14:paraId="624A2615">
      <w:pPr>
        <w:pStyle w:val="113"/>
        <w:adjustRightInd w:val="0"/>
        <w:snapToGrid w:val="0"/>
        <w:spacing w:line="240" w:lineRule="exact"/>
        <w:ind w:firstLine="0" w:firstLineChars="0"/>
        <w:rPr>
          <w:rFonts w:ascii="Times New Roman" w:hAnsi="Times New Roman"/>
          <w:color w:val="auto"/>
          <w:sz w:val="21"/>
          <w:szCs w:val="21"/>
          <w:highlight w:val="none"/>
        </w:rPr>
      </w:pPr>
    </w:p>
    <w:p w14:paraId="0093401F">
      <w:pPr>
        <w:pStyle w:val="113"/>
        <w:adjustRightInd w:val="0"/>
        <w:snapToGrid w:val="0"/>
        <w:spacing w:line="240" w:lineRule="exact"/>
        <w:ind w:firstLine="420"/>
        <w:rPr>
          <w:rFonts w:ascii="Times New Roman" w:hAnsi="Times New Roman"/>
          <w:color w:val="auto"/>
          <w:sz w:val="21"/>
          <w:szCs w:val="21"/>
          <w:highlight w:val="none"/>
        </w:rPr>
      </w:pPr>
    </w:p>
    <w:p w14:paraId="6AB7F626">
      <w:pPr>
        <w:pStyle w:val="113"/>
        <w:adjustRightInd w:val="0"/>
        <w:snapToGrid w:val="0"/>
        <w:spacing w:line="240" w:lineRule="exact"/>
        <w:ind w:firstLine="420"/>
        <w:rPr>
          <w:rFonts w:ascii="Times New Roman" w:hAnsi="Times New Roman"/>
          <w:color w:val="auto"/>
          <w:sz w:val="21"/>
          <w:szCs w:val="21"/>
          <w:highlight w:val="none"/>
        </w:rPr>
      </w:pPr>
    </w:p>
    <w:p w14:paraId="3D77BDBF">
      <w:pPr>
        <w:pStyle w:val="113"/>
        <w:adjustRightInd w:val="0"/>
        <w:snapToGrid w:val="0"/>
        <w:spacing w:line="240" w:lineRule="exact"/>
        <w:ind w:firstLine="420"/>
        <w:rPr>
          <w:rFonts w:ascii="Times New Roman" w:hAnsi="Times New Roman"/>
          <w:color w:val="auto"/>
          <w:sz w:val="21"/>
          <w:szCs w:val="21"/>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14:paraId="0E75D1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750" w:type="dxa"/>
            <w:gridSpan w:val="6"/>
            <w:noWrap w:val="0"/>
            <w:vAlign w:val="center"/>
          </w:tcPr>
          <w:p w14:paraId="67C9FC64">
            <w:pPr>
              <w:adjustRightInd w:val="0"/>
              <w:snapToGrid w:val="0"/>
              <w:spacing w:line="300" w:lineRule="exact"/>
              <w:ind w:left="1" w:leftChars="-118" w:hanging="249" w:hangingChars="118"/>
              <w:jc w:val="center"/>
              <w:rPr>
                <w:b/>
                <w:color w:val="auto"/>
                <w:szCs w:val="21"/>
                <w:highlight w:val="none"/>
              </w:rPr>
            </w:pPr>
            <w:r>
              <w:rPr>
                <w:b/>
                <w:color w:val="auto"/>
                <w:szCs w:val="21"/>
                <w:highlight w:val="none"/>
              </w:rPr>
              <w:t>技术部分</w:t>
            </w:r>
          </w:p>
        </w:tc>
      </w:tr>
      <w:tr w14:paraId="5F0602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3E721B15">
            <w:pPr>
              <w:adjustRightInd w:val="0"/>
              <w:snapToGrid w:val="0"/>
              <w:spacing w:line="300" w:lineRule="exact"/>
              <w:jc w:val="center"/>
              <w:rPr>
                <w:color w:val="auto"/>
                <w:szCs w:val="21"/>
                <w:highlight w:val="none"/>
              </w:rPr>
            </w:pPr>
            <w:r>
              <w:rPr>
                <w:color w:val="auto"/>
                <w:szCs w:val="21"/>
                <w:highlight w:val="none"/>
              </w:rPr>
              <w:t>序号</w:t>
            </w:r>
          </w:p>
        </w:tc>
        <w:tc>
          <w:tcPr>
            <w:tcW w:w="1134" w:type="dxa"/>
            <w:noWrap w:val="0"/>
            <w:vAlign w:val="center"/>
          </w:tcPr>
          <w:p w14:paraId="5E378E93">
            <w:pPr>
              <w:adjustRightInd w:val="0"/>
              <w:snapToGrid w:val="0"/>
              <w:spacing w:line="300" w:lineRule="exact"/>
              <w:jc w:val="center"/>
              <w:rPr>
                <w:color w:val="auto"/>
                <w:szCs w:val="21"/>
                <w:highlight w:val="none"/>
              </w:rPr>
            </w:pPr>
            <w:r>
              <w:rPr>
                <w:color w:val="auto"/>
                <w:szCs w:val="21"/>
                <w:highlight w:val="none"/>
              </w:rPr>
              <w:t>名称</w:t>
            </w:r>
          </w:p>
        </w:tc>
        <w:tc>
          <w:tcPr>
            <w:tcW w:w="3260" w:type="dxa"/>
            <w:noWrap w:val="0"/>
            <w:vAlign w:val="center"/>
          </w:tcPr>
          <w:p w14:paraId="4C2A4D8E">
            <w:pPr>
              <w:adjustRightInd w:val="0"/>
              <w:snapToGrid w:val="0"/>
              <w:spacing w:line="300" w:lineRule="exact"/>
              <w:jc w:val="center"/>
              <w:rPr>
                <w:color w:val="auto"/>
                <w:szCs w:val="21"/>
                <w:highlight w:val="none"/>
              </w:rPr>
            </w:pPr>
            <w:r>
              <w:rPr>
                <w:color w:val="auto"/>
                <w:szCs w:val="21"/>
                <w:highlight w:val="none"/>
              </w:rPr>
              <w:t>竞争性磋商文件要求</w:t>
            </w:r>
          </w:p>
          <w:p w14:paraId="4DCB805C">
            <w:pPr>
              <w:adjustRightInd w:val="0"/>
              <w:snapToGrid w:val="0"/>
              <w:spacing w:line="300" w:lineRule="exact"/>
              <w:jc w:val="center"/>
              <w:rPr>
                <w:color w:val="auto"/>
                <w:szCs w:val="21"/>
                <w:highlight w:val="none"/>
              </w:rPr>
            </w:pPr>
            <w:r>
              <w:rPr>
                <w:color w:val="auto"/>
                <w:szCs w:val="21"/>
                <w:highlight w:val="none"/>
              </w:rPr>
              <w:t>（技术参数需求及服务要求）</w:t>
            </w:r>
          </w:p>
        </w:tc>
        <w:tc>
          <w:tcPr>
            <w:tcW w:w="3260" w:type="dxa"/>
            <w:noWrap w:val="0"/>
            <w:vAlign w:val="center"/>
          </w:tcPr>
          <w:p w14:paraId="78AD53EB">
            <w:pPr>
              <w:adjustRightInd w:val="0"/>
              <w:snapToGrid w:val="0"/>
              <w:spacing w:line="300" w:lineRule="exact"/>
              <w:jc w:val="center"/>
              <w:rPr>
                <w:color w:val="auto"/>
                <w:szCs w:val="21"/>
                <w:highlight w:val="none"/>
              </w:rPr>
            </w:pPr>
            <w:r>
              <w:rPr>
                <w:color w:val="auto"/>
                <w:szCs w:val="21"/>
                <w:highlight w:val="none"/>
              </w:rPr>
              <w:t>竞争性磋商响应文件的具体技术参数响应</w:t>
            </w:r>
          </w:p>
        </w:tc>
        <w:tc>
          <w:tcPr>
            <w:tcW w:w="840" w:type="dxa"/>
            <w:noWrap w:val="0"/>
            <w:vAlign w:val="center"/>
          </w:tcPr>
          <w:p w14:paraId="18E38505">
            <w:pPr>
              <w:adjustRightInd w:val="0"/>
              <w:snapToGrid w:val="0"/>
              <w:spacing w:line="300" w:lineRule="exact"/>
              <w:jc w:val="center"/>
              <w:rPr>
                <w:color w:val="auto"/>
                <w:szCs w:val="21"/>
                <w:highlight w:val="none"/>
              </w:rPr>
            </w:pPr>
            <w:r>
              <w:rPr>
                <w:color w:val="auto"/>
                <w:szCs w:val="21"/>
                <w:highlight w:val="none"/>
              </w:rPr>
              <w:t>响应/偏离</w:t>
            </w:r>
          </w:p>
        </w:tc>
        <w:tc>
          <w:tcPr>
            <w:tcW w:w="722" w:type="dxa"/>
            <w:noWrap w:val="0"/>
            <w:vAlign w:val="center"/>
          </w:tcPr>
          <w:p w14:paraId="791189C7">
            <w:pPr>
              <w:adjustRightInd w:val="0"/>
              <w:snapToGrid w:val="0"/>
              <w:spacing w:line="300" w:lineRule="exact"/>
              <w:ind w:leftChars="-118" w:hanging="247" w:hangingChars="118"/>
              <w:jc w:val="center"/>
              <w:rPr>
                <w:color w:val="auto"/>
                <w:szCs w:val="21"/>
                <w:highlight w:val="none"/>
              </w:rPr>
            </w:pPr>
            <w:r>
              <w:rPr>
                <w:color w:val="auto"/>
                <w:szCs w:val="21"/>
                <w:highlight w:val="none"/>
              </w:rPr>
              <w:t>说明</w:t>
            </w:r>
          </w:p>
        </w:tc>
      </w:tr>
      <w:tr w14:paraId="361469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67E6E7FA">
            <w:pPr>
              <w:adjustRightInd w:val="0"/>
              <w:snapToGrid w:val="0"/>
              <w:spacing w:before="159" w:beforeLines="50" w:after="159" w:afterLines="50" w:line="300" w:lineRule="exact"/>
              <w:jc w:val="center"/>
              <w:rPr>
                <w:color w:val="auto"/>
                <w:szCs w:val="21"/>
                <w:highlight w:val="none"/>
              </w:rPr>
            </w:pPr>
            <w:r>
              <w:rPr>
                <w:color w:val="auto"/>
                <w:szCs w:val="21"/>
                <w:highlight w:val="none"/>
              </w:rPr>
              <w:t>1</w:t>
            </w:r>
          </w:p>
        </w:tc>
        <w:tc>
          <w:tcPr>
            <w:tcW w:w="1134" w:type="dxa"/>
            <w:noWrap w:val="0"/>
            <w:vAlign w:val="center"/>
          </w:tcPr>
          <w:p w14:paraId="1726A207">
            <w:pPr>
              <w:adjustRightInd w:val="0"/>
              <w:snapToGrid w:val="0"/>
              <w:spacing w:line="300" w:lineRule="exact"/>
              <w:jc w:val="left"/>
              <w:rPr>
                <w:color w:val="auto"/>
                <w:szCs w:val="21"/>
                <w:highlight w:val="none"/>
              </w:rPr>
            </w:pPr>
          </w:p>
        </w:tc>
        <w:tc>
          <w:tcPr>
            <w:tcW w:w="3260" w:type="dxa"/>
            <w:noWrap w:val="0"/>
            <w:vAlign w:val="center"/>
          </w:tcPr>
          <w:p w14:paraId="22E3E94F">
            <w:pPr>
              <w:adjustRightInd w:val="0"/>
              <w:snapToGrid w:val="0"/>
              <w:spacing w:line="300" w:lineRule="exact"/>
              <w:jc w:val="left"/>
              <w:rPr>
                <w:color w:val="auto"/>
                <w:szCs w:val="21"/>
                <w:highlight w:val="none"/>
              </w:rPr>
            </w:pPr>
          </w:p>
        </w:tc>
        <w:tc>
          <w:tcPr>
            <w:tcW w:w="3260" w:type="dxa"/>
            <w:noWrap w:val="0"/>
            <w:vAlign w:val="center"/>
          </w:tcPr>
          <w:p w14:paraId="396930D8">
            <w:pPr>
              <w:adjustRightInd w:val="0"/>
              <w:snapToGrid w:val="0"/>
              <w:spacing w:line="300" w:lineRule="exact"/>
              <w:jc w:val="left"/>
              <w:rPr>
                <w:color w:val="auto"/>
                <w:szCs w:val="21"/>
                <w:highlight w:val="none"/>
              </w:rPr>
            </w:pPr>
          </w:p>
        </w:tc>
        <w:tc>
          <w:tcPr>
            <w:tcW w:w="840" w:type="dxa"/>
            <w:noWrap w:val="0"/>
            <w:vAlign w:val="center"/>
          </w:tcPr>
          <w:p w14:paraId="32C61704">
            <w:pPr>
              <w:adjustRightInd w:val="0"/>
              <w:snapToGrid w:val="0"/>
              <w:spacing w:line="300" w:lineRule="exact"/>
              <w:jc w:val="center"/>
              <w:rPr>
                <w:color w:val="auto"/>
                <w:szCs w:val="21"/>
                <w:highlight w:val="none"/>
              </w:rPr>
            </w:pPr>
            <w:r>
              <w:rPr>
                <w:color w:val="auto"/>
                <w:szCs w:val="21"/>
                <w:highlight w:val="none"/>
              </w:rPr>
              <w:t>无偏离</w:t>
            </w:r>
          </w:p>
        </w:tc>
        <w:tc>
          <w:tcPr>
            <w:tcW w:w="722" w:type="dxa"/>
            <w:noWrap w:val="0"/>
            <w:vAlign w:val="center"/>
          </w:tcPr>
          <w:p w14:paraId="6533E3FE">
            <w:pPr>
              <w:adjustRightInd w:val="0"/>
              <w:snapToGrid w:val="0"/>
              <w:spacing w:line="300" w:lineRule="exact"/>
              <w:jc w:val="center"/>
              <w:rPr>
                <w:color w:val="auto"/>
                <w:szCs w:val="21"/>
                <w:highlight w:val="none"/>
              </w:rPr>
            </w:pPr>
          </w:p>
        </w:tc>
      </w:tr>
      <w:tr w14:paraId="1C4B74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35F6E556">
            <w:pPr>
              <w:adjustRightInd w:val="0"/>
              <w:snapToGrid w:val="0"/>
              <w:spacing w:before="159" w:beforeLines="50" w:after="159" w:afterLines="50" w:line="300" w:lineRule="exact"/>
              <w:jc w:val="center"/>
              <w:rPr>
                <w:color w:val="auto"/>
                <w:szCs w:val="21"/>
                <w:highlight w:val="none"/>
              </w:rPr>
            </w:pPr>
          </w:p>
        </w:tc>
        <w:tc>
          <w:tcPr>
            <w:tcW w:w="1134" w:type="dxa"/>
            <w:noWrap w:val="0"/>
            <w:vAlign w:val="center"/>
          </w:tcPr>
          <w:p w14:paraId="48256294">
            <w:pPr>
              <w:adjustRightInd w:val="0"/>
              <w:snapToGrid w:val="0"/>
              <w:spacing w:line="300" w:lineRule="exact"/>
              <w:jc w:val="left"/>
              <w:rPr>
                <w:color w:val="auto"/>
                <w:szCs w:val="21"/>
                <w:highlight w:val="none"/>
              </w:rPr>
            </w:pPr>
          </w:p>
        </w:tc>
        <w:tc>
          <w:tcPr>
            <w:tcW w:w="3260" w:type="dxa"/>
            <w:noWrap w:val="0"/>
            <w:vAlign w:val="center"/>
          </w:tcPr>
          <w:p w14:paraId="10355099">
            <w:pPr>
              <w:adjustRightInd w:val="0"/>
              <w:snapToGrid w:val="0"/>
              <w:spacing w:line="300" w:lineRule="exact"/>
              <w:jc w:val="left"/>
              <w:outlineLvl w:val="0"/>
              <w:rPr>
                <w:color w:val="auto"/>
                <w:szCs w:val="21"/>
                <w:highlight w:val="none"/>
              </w:rPr>
            </w:pPr>
          </w:p>
        </w:tc>
        <w:tc>
          <w:tcPr>
            <w:tcW w:w="3260" w:type="dxa"/>
            <w:noWrap w:val="0"/>
            <w:vAlign w:val="center"/>
          </w:tcPr>
          <w:p w14:paraId="17EC7972">
            <w:pPr>
              <w:adjustRightInd w:val="0"/>
              <w:snapToGrid w:val="0"/>
              <w:spacing w:line="300" w:lineRule="exact"/>
              <w:jc w:val="left"/>
              <w:outlineLvl w:val="0"/>
              <w:rPr>
                <w:color w:val="auto"/>
                <w:szCs w:val="21"/>
                <w:highlight w:val="none"/>
              </w:rPr>
            </w:pPr>
          </w:p>
        </w:tc>
        <w:tc>
          <w:tcPr>
            <w:tcW w:w="840" w:type="dxa"/>
            <w:noWrap w:val="0"/>
            <w:vAlign w:val="center"/>
          </w:tcPr>
          <w:p w14:paraId="4879052E">
            <w:pPr>
              <w:adjustRightInd w:val="0"/>
              <w:snapToGrid w:val="0"/>
              <w:spacing w:line="300" w:lineRule="exact"/>
              <w:jc w:val="center"/>
              <w:outlineLvl w:val="0"/>
              <w:rPr>
                <w:color w:val="auto"/>
                <w:szCs w:val="21"/>
                <w:highlight w:val="none"/>
              </w:rPr>
            </w:pPr>
          </w:p>
        </w:tc>
        <w:tc>
          <w:tcPr>
            <w:tcW w:w="722" w:type="dxa"/>
            <w:noWrap w:val="0"/>
            <w:vAlign w:val="center"/>
          </w:tcPr>
          <w:p w14:paraId="13A9466F">
            <w:pPr>
              <w:adjustRightInd w:val="0"/>
              <w:snapToGrid w:val="0"/>
              <w:spacing w:line="300" w:lineRule="exact"/>
              <w:jc w:val="center"/>
              <w:outlineLvl w:val="0"/>
              <w:rPr>
                <w:color w:val="auto"/>
                <w:szCs w:val="21"/>
                <w:highlight w:val="none"/>
              </w:rPr>
            </w:pPr>
          </w:p>
        </w:tc>
      </w:tr>
      <w:tr w14:paraId="18C0B0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3D6FD29F">
            <w:pPr>
              <w:adjustRightInd w:val="0"/>
              <w:snapToGrid w:val="0"/>
              <w:spacing w:line="300" w:lineRule="exact"/>
              <w:jc w:val="center"/>
              <w:rPr>
                <w:color w:val="auto"/>
                <w:szCs w:val="21"/>
                <w:highlight w:val="none"/>
              </w:rPr>
            </w:pPr>
            <w:r>
              <w:rPr>
                <w:color w:val="auto"/>
                <w:szCs w:val="21"/>
                <w:highlight w:val="none"/>
              </w:rPr>
              <w:t>…</w:t>
            </w:r>
          </w:p>
        </w:tc>
        <w:tc>
          <w:tcPr>
            <w:tcW w:w="1134" w:type="dxa"/>
            <w:noWrap w:val="0"/>
            <w:vAlign w:val="center"/>
          </w:tcPr>
          <w:p w14:paraId="4179E421">
            <w:pPr>
              <w:adjustRightInd w:val="0"/>
              <w:snapToGrid w:val="0"/>
              <w:spacing w:line="300" w:lineRule="exact"/>
              <w:jc w:val="center"/>
              <w:rPr>
                <w:color w:val="auto"/>
                <w:szCs w:val="21"/>
                <w:highlight w:val="none"/>
              </w:rPr>
            </w:pPr>
            <w:r>
              <w:rPr>
                <w:color w:val="auto"/>
                <w:szCs w:val="21"/>
                <w:highlight w:val="none"/>
              </w:rPr>
              <w:t>…</w:t>
            </w:r>
          </w:p>
        </w:tc>
        <w:tc>
          <w:tcPr>
            <w:tcW w:w="3260" w:type="dxa"/>
            <w:noWrap w:val="0"/>
            <w:vAlign w:val="center"/>
          </w:tcPr>
          <w:p w14:paraId="23B91DF4">
            <w:pPr>
              <w:adjustRightInd w:val="0"/>
              <w:snapToGrid w:val="0"/>
              <w:spacing w:line="300" w:lineRule="exact"/>
              <w:jc w:val="center"/>
              <w:rPr>
                <w:color w:val="auto"/>
                <w:szCs w:val="21"/>
                <w:highlight w:val="none"/>
              </w:rPr>
            </w:pPr>
            <w:r>
              <w:rPr>
                <w:color w:val="auto"/>
                <w:szCs w:val="21"/>
                <w:highlight w:val="none"/>
              </w:rPr>
              <w:t>…</w:t>
            </w:r>
          </w:p>
        </w:tc>
        <w:tc>
          <w:tcPr>
            <w:tcW w:w="3260" w:type="dxa"/>
            <w:noWrap w:val="0"/>
            <w:vAlign w:val="center"/>
          </w:tcPr>
          <w:p w14:paraId="4F0F076D">
            <w:pPr>
              <w:adjustRightInd w:val="0"/>
              <w:snapToGrid w:val="0"/>
              <w:spacing w:line="300" w:lineRule="exact"/>
              <w:jc w:val="center"/>
              <w:rPr>
                <w:color w:val="auto"/>
                <w:szCs w:val="21"/>
                <w:highlight w:val="none"/>
              </w:rPr>
            </w:pPr>
            <w:r>
              <w:rPr>
                <w:color w:val="auto"/>
                <w:szCs w:val="21"/>
                <w:highlight w:val="none"/>
              </w:rPr>
              <w:t>…</w:t>
            </w:r>
          </w:p>
        </w:tc>
        <w:tc>
          <w:tcPr>
            <w:tcW w:w="840" w:type="dxa"/>
            <w:noWrap w:val="0"/>
            <w:vAlign w:val="center"/>
          </w:tcPr>
          <w:p w14:paraId="0FDDA9AB">
            <w:pPr>
              <w:adjustRightInd w:val="0"/>
              <w:snapToGrid w:val="0"/>
              <w:spacing w:line="300" w:lineRule="exact"/>
              <w:jc w:val="center"/>
              <w:rPr>
                <w:color w:val="auto"/>
                <w:szCs w:val="21"/>
                <w:highlight w:val="none"/>
              </w:rPr>
            </w:pPr>
            <w:r>
              <w:rPr>
                <w:color w:val="auto"/>
                <w:szCs w:val="21"/>
                <w:highlight w:val="none"/>
              </w:rPr>
              <w:t>…</w:t>
            </w:r>
          </w:p>
        </w:tc>
        <w:tc>
          <w:tcPr>
            <w:tcW w:w="722" w:type="dxa"/>
            <w:noWrap w:val="0"/>
            <w:vAlign w:val="center"/>
          </w:tcPr>
          <w:p w14:paraId="7040DC5F">
            <w:pPr>
              <w:adjustRightInd w:val="0"/>
              <w:snapToGrid w:val="0"/>
              <w:spacing w:line="300" w:lineRule="exact"/>
              <w:jc w:val="center"/>
              <w:rPr>
                <w:color w:val="auto"/>
                <w:szCs w:val="21"/>
                <w:highlight w:val="none"/>
              </w:rPr>
            </w:pPr>
            <w:r>
              <w:rPr>
                <w:color w:val="auto"/>
                <w:szCs w:val="21"/>
                <w:highlight w:val="none"/>
              </w:rPr>
              <w:t>…</w:t>
            </w:r>
          </w:p>
        </w:tc>
      </w:tr>
    </w:tbl>
    <w:p w14:paraId="76FEF21B">
      <w:pPr>
        <w:adjustRightInd w:val="0"/>
        <w:snapToGrid w:val="0"/>
        <w:spacing w:line="360" w:lineRule="auto"/>
        <w:ind w:firstLine="105" w:firstLineChars="50"/>
        <w:rPr>
          <w:color w:val="auto"/>
          <w:szCs w:val="21"/>
          <w:highlight w:val="none"/>
        </w:rPr>
      </w:pPr>
    </w:p>
    <w:p w14:paraId="09B09A45">
      <w:pPr>
        <w:adjustRightInd w:val="0"/>
        <w:snapToGrid w:val="0"/>
        <w:spacing w:line="240" w:lineRule="auto"/>
        <w:ind w:firstLine="105" w:firstLineChars="50"/>
        <w:rPr>
          <w:color w:val="auto"/>
          <w:szCs w:val="21"/>
          <w:highlight w:val="none"/>
        </w:rPr>
      </w:pPr>
      <w:r>
        <w:rPr>
          <w:color w:val="auto"/>
          <w:szCs w:val="21"/>
          <w:highlight w:val="none"/>
        </w:rPr>
        <w:t>说明：</w:t>
      </w:r>
      <w:r>
        <w:rPr>
          <w:color w:val="auto"/>
          <w:highlight w:val="none"/>
        </w:rPr>
        <w:t>1.应写明竞争性磋商响应文件对商务与技术要求的响应和偏离情况；</w:t>
      </w:r>
    </w:p>
    <w:p w14:paraId="7A6CA7F1">
      <w:pPr>
        <w:pStyle w:val="20"/>
        <w:spacing w:line="240" w:lineRule="auto"/>
        <w:ind w:firstLine="630" w:firstLineChars="300"/>
        <w:rPr>
          <w:rFonts w:ascii="Times New Roman" w:eastAsia="宋体"/>
          <w:color w:val="auto"/>
          <w:sz w:val="21"/>
          <w:szCs w:val="21"/>
          <w:highlight w:val="none"/>
        </w:rPr>
      </w:pPr>
      <w:r>
        <w:rPr>
          <w:rFonts w:ascii="Times New Roman" w:eastAsia="宋体"/>
          <w:color w:val="auto"/>
          <w:sz w:val="21"/>
          <w:szCs w:val="21"/>
          <w:highlight w:val="none"/>
        </w:rPr>
        <w:t xml:space="preserve"> 2.应对照竞争性磋商文件“第三章  采购项目需求”，逐条说明所提供货物和服务已对竞争性磋商文件的技术规格做出了实质性的响应，并申明与技术规格条文的响应和偏离。特别对有具体参数要求的指标，竞标人必须提供所供设备的具体参数值。如果仅注明“符合”、“满足”或简单复制竞争性磋商文件要求，将导致</w:t>
      </w:r>
      <w:r>
        <w:rPr>
          <w:rFonts w:hint="eastAsia" w:ascii="Times New Roman" w:eastAsia="宋体"/>
          <w:color w:val="auto"/>
          <w:sz w:val="21"/>
          <w:szCs w:val="21"/>
          <w:highlight w:val="none"/>
        </w:rPr>
        <w:t>磋商</w:t>
      </w:r>
      <w:r>
        <w:rPr>
          <w:rFonts w:ascii="Times New Roman" w:eastAsia="宋体"/>
          <w:color w:val="auto"/>
          <w:sz w:val="21"/>
          <w:szCs w:val="21"/>
          <w:highlight w:val="none"/>
        </w:rPr>
        <w:t>被拒绝。</w:t>
      </w:r>
    </w:p>
    <w:p w14:paraId="7D684252">
      <w:pPr>
        <w:pStyle w:val="23"/>
        <w:spacing w:line="300" w:lineRule="auto"/>
        <w:rPr>
          <w:rFonts w:ascii="Times New Roman" w:hAnsi="Times New Roman" w:cs="Times New Roman"/>
          <w:color w:val="auto"/>
          <w:highlight w:val="none"/>
        </w:rPr>
      </w:pPr>
    </w:p>
    <w:p w14:paraId="347A19FD">
      <w:pPr>
        <w:pStyle w:val="23"/>
        <w:spacing w:line="300" w:lineRule="auto"/>
        <w:ind w:firstLine="1470" w:firstLineChars="700"/>
        <w:jc w:val="right"/>
        <w:rPr>
          <w:rFonts w:ascii="Times New Roman" w:hAnsi="Times New Roman" w:cs="Times New Roman"/>
          <w:color w:val="auto"/>
          <w:highlight w:val="none"/>
        </w:rPr>
      </w:pPr>
      <w:r>
        <w:rPr>
          <w:rFonts w:ascii="Times New Roman" w:hAnsi="Times New Roman" w:cs="Times New Roman"/>
          <w:color w:val="auto"/>
          <w:highlight w:val="none"/>
        </w:rPr>
        <w:t>法定代表人或法定代表人授权代表签字:</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71689A60">
      <w:pPr>
        <w:pStyle w:val="23"/>
        <w:spacing w:line="300" w:lineRule="auto"/>
        <w:ind w:firstLine="4935" w:firstLineChars="2350"/>
        <w:jc w:val="right"/>
        <w:rPr>
          <w:rFonts w:ascii="Times New Roman" w:hAnsi="Times New Roman" w:cs="Times New Roman"/>
          <w:color w:val="auto"/>
          <w:highlight w:val="none"/>
          <w:u w:val="single"/>
        </w:rPr>
      </w:pP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14:paraId="26814FF3">
      <w:pPr>
        <w:spacing w:line="300" w:lineRule="auto"/>
        <w:rPr>
          <w:color w:val="auto"/>
          <w:szCs w:val="21"/>
          <w:highlight w:val="none"/>
        </w:rPr>
      </w:pPr>
    </w:p>
    <w:p w14:paraId="096D775B">
      <w:pPr>
        <w:spacing w:line="300" w:lineRule="auto"/>
        <w:rPr>
          <w:color w:val="auto"/>
          <w:szCs w:val="21"/>
          <w:highlight w:val="none"/>
        </w:rPr>
      </w:pPr>
    </w:p>
    <w:p w14:paraId="4D5F6311">
      <w:pPr>
        <w:spacing w:line="300" w:lineRule="auto"/>
        <w:rPr>
          <w:color w:val="auto"/>
          <w:szCs w:val="21"/>
          <w:highlight w:val="none"/>
        </w:rPr>
      </w:pPr>
    </w:p>
    <w:p w14:paraId="6DDB0BCA">
      <w:pPr>
        <w:spacing w:line="300" w:lineRule="auto"/>
        <w:rPr>
          <w:color w:val="auto"/>
          <w:szCs w:val="21"/>
          <w:highlight w:val="none"/>
        </w:rPr>
      </w:pPr>
      <w:r>
        <w:rPr>
          <w:color w:val="auto"/>
          <w:szCs w:val="21"/>
          <w:highlight w:val="none"/>
        </w:rPr>
        <w:t>附件五</w:t>
      </w:r>
    </w:p>
    <w:p w14:paraId="668EAD86">
      <w:pPr>
        <w:spacing w:line="5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法定代表人授权书</w:t>
      </w:r>
    </w:p>
    <w:p w14:paraId="7E7C268B">
      <w:pPr>
        <w:spacing w:line="520" w:lineRule="exact"/>
        <w:rPr>
          <w:color w:val="auto"/>
          <w:szCs w:val="21"/>
          <w:highlight w:val="none"/>
        </w:rPr>
      </w:pPr>
      <w:r>
        <w:rPr>
          <w:rFonts w:hint="eastAsia"/>
          <w:color w:val="auto"/>
          <w:szCs w:val="21"/>
          <w:highlight w:val="none"/>
          <w:lang w:eastAsia="zh-CN"/>
        </w:rPr>
        <w:t>广西东博国际经贸投资有限公司</w:t>
      </w:r>
      <w:r>
        <w:rPr>
          <w:color w:val="auto"/>
          <w:szCs w:val="21"/>
          <w:highlight w:val="none"/>
        </w:rPr>
        <w:t>：</w:t>
      </w:r>
    </w:p>
    <w:p w14:paraId="58098189">
      <w:pPr>
        <w:spacing w:line="520" w:lineRule="exact"/>
        <w:ind w:firstLine="420" w:firstLineChars="200"/>
        <w:rPr>
          <w:color w:val="auto"/>
          <w:szCs w:val="21"/>
          <w:highlight w:val="none"/>
        </w:rPr>
      </w:pPr>
      <w:r>
        <w:rPr>
          <w:color w:val="auto"/>
          <w:szCs w:val="21"/>
          <w:highlight w:val="none"/>
        </w:rPr>
        <w:t>兹授权</w:t>
      </w:r>
      <w:r>
        <w:rPr>
          <w:color w:val="auto"/>
          <w:szCs w:val="21"/>
          <w:highlight w:val="none"/>
          <w:u w:val="single"/>
        </w:rPr>
        <w:t xml:space="preserve">      </w:t>
      </w:r>
      <w:r>
        <w:rPr>
          <w:color w:val="auto"/>
          <w:szCs w:val="21"/>
          <w:highlight w:val="none"/>
        </w:rPr>
        <w:t>同志为我公司参加贵单位组织的</w:t>
      </w:r>
      <w:r>
        <w:rPr>
          <w:color w:val="auto"/>
          <w:szCs w:val="21"/>
          <w:highlight w:val="none"/>
          <w:u w:val="single"/>
        </w:rPr>
        <w:t>（项目名称）竞争性磋商</w:t>
      </w:r>
      <w:r>
        <w:rPr>
          <w:color w:val="auto"/>
          <w:szCs w:val="21"/>
          <w:highlight w:val="none"/>
        </w:rPr>
        <w:t>采购活动的竞标代表人，全权代表我公司处理在该项目活动中的一切事宜。代理期限从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日起至</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日止。</w:t>
      </w:r>
    </w:p>
    <w:p w14:paraId="245B0343">
      <w:pPr>
        <w:spacing w:line="520" w:lineRule="exact"/>
        <w:rPr>
          <w:color w:val="auto"/>
          <w:szCs w:val="21"/>
          <w:highlight w:val="none"/>
        </w:rPr>
      </w:pPr>
    </w:p>
    <w:p w14:paraId="3219B81D">
      <w:pPr>
        <w:spacing w:line="520" w:lineRule="exact"/>
        <w:rPr>
          <w:color w:val="auto"/>
          <w:szCs w:val="21"/>
          <w:highlight w:val="none"/>
        </w:rPr>
      </w:pPr>
      <w:r>
        <w:rPr>
          <w:color w:val="auto"/>
          <w:szCs w:val="21"/>
          <w:highlight w:val="none"/>
        </w:rPr>
        <w:t>授权单位（签章）：</w:t>
      </w:r>
      <w:r>
        <w:rPr>
          <w:color w:val="auto"/>
          <w:szCs w:val="21"/>
          <w:highlight w:val="none"/>
          <w:u w:val="single"/>
        </w:rPr>
        <w:t xml:space="preserve">                </w:t>
      </w:r>
    </w:p>
    <w:p w14:paraId="4EDDF159">
      <w:pPr>
        <w:spacing w:line="520" w:lineRule="exact"/>
        <w:rPr>
          <w:color w:val="auto"/>
          <w:szCs w:val="21"/>
          <w:highlight w:val="none"/>
          <w:u w:val="single"/>
        </w:rPr>
      </w:pPr>
      <w:r>
        <w:rPr>
          <w:color w:val="auto"/>
          <w:szCs w:val="21"/>
          <w:highlight w:val="none"/>
        </w:rPr>
        <w:t>法定代表人（签字或盖章）：</w:t>
      </w:r>
      <w:r>
        <w:rPr>
          <w:color w:val="auto"/>
          <w:szCs w:val="21"/>
          <w:highlight w:val="none"/>
          <w:u w:val="single"/>
        </w:rPr>
        <w:t xml:space="preserve">         </w:t>
      </w:r>
    </w:p>
    <w:p w14:paraId="65CD0AF7">
      <w:pPr>
        <w:spacing w:line="520" w:lineRule="exact"/>
        <w:rPr>
          <w:color w:val="auto"/>
          <w:szCs w:val="21"/>
          <w:highlight w:val="none"/>
        </w:rPr>
      </w:pPr>
      <w:r>
        <w:rPr>
          <w:color w:val="auto"/>
          <w:szCs w:val="21"/>
          <w:highlight w:val="none"/>
        </w:rPr>
        <w:t>被授权代表（签字）：</w:t>
      </w:r>
      <w:r>
        <w:rPr>
          <w:color w:val="auto"/>
          <w:szCs w:val="21"/>
          <w:highlight w:val="none"/>
          <w:u w:val="single"/>
        </w:rPr>
        <w:t xml:space="preserve">                </w:t>
      </w:r>
    </w:p>
    <w:p w14:paraId="1BD096B2">
      <w:pPr>
        <w:spacing w:line="520" w:lineRule="exact"/>
        <w:rPr>
          <w:color w:val="auto"/>
          <w:szCs w:val="21"/>
          <w:highlight w:val="none"/>
        </w:rPr>
      </w:pPr>
      <w:r>
        <w:rPr>
          <w:color w:val="auto"/>
          <w:szCs w:val="21"/>
          <w:highlight w:val="none"/>
        </w:rPr>
        <w:t>签发日期：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17993657">
      <w:pPr>
        <w:spacing w:line="520" w:lineRule="exact"/>
        <w:rPr>
          <w:color w:val="auto"/>
          <w:szCs w:val="21"/>
          <w:highlight w:val="none"/>
        </w:rPr>
      </w:pPr>
    </w:p>
    <w:p w14:paraId="638B1020">
      <w:pPr>
        <w:spacing w:line="520" w:lineRule="exact"/>
        <w:ind w:firstLine="420" w:firstLineChars="200"/>
        <w:rPr>
          <w:color w:val="auto"/>
          <w:szCs w:val="21"/>
          <w:highlight w:val="none"/>
        </w:rPr>
      </w:pPr>
      <w:r>
        <w:rPr>
          <w:color w:val="auto"/>
          <w:szCs w:val="21"/>
          <w:highlight w:val="none"/>
        </w:rPr>
        <w:t>附：代理人工作单位：</w:t>
      </w:r>
      <w:r>
        <w:rPr>
          <w:color w:val="auto"/>
          <w:szCs w:val="21"/>
          <w:highlight w:val="none"/>
          <w:u w:val="single"/>
        </w:rPr>
        <w:t xml:space="preserve">                     </w:t>
      </w:r>
    </w:p>
    <w:p w14:paraId="5A819308">
      <w:pPr>
        <w:spacing w:line="520" w:lineRule="exact"/>
        <w:ind w:firstLine="420" w:firstLineChars="200"/>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p>
    <w:p w14:paraId="4306649A">
      <w:pPr>
        <w:adjustRightInd w:val="0"/>
        <w:snapToGrid w:val="0"/>
        <w:spacing w:line="520" w:lineRule="exact"/>
        <w:ind w:firstLine="420" w:firstLineChars="200"/>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092978F8">
      <w:pPr>
        <w:adjustRightInd w:val="0"/>
        <w:snapToGrid w:val="0"/>
        <w:spacing w:line="520" w:lineRule="exact"/>
        <w:ind w:firstLine="420" w:firstLineChars="200"/>
        <w:rPr>
          <w:color w:val="auto"/>
          <w:szCs w:val="21"/>
          <w:highlight w:val="none"/>
          <w:u w:val="single"/>
        </w:rPr>
      </w:pPr>
    </w:p>
    <w:tbl>
      <w:tblPr>
        <w:tblStyle w:val="4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64C9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657" w:type="dxa"/>
            <w:noWrap w:val="0"/>
            <w:vAlign w:val="top"/>
          </w:tcPr>
          <w:p w14:paraId="73F171BB">
            <w:pPr>
              <w:spacing w:line="300" w:lineRule="auto"/>
              <w:rPr>
                <w:color w:val="auto"/>
                <w:szCs w:val="21"/>
                <w:highlight w:val="none"/>
              </w:rPr>
            </w:pPr>
            <w:r>
              <w:rPr>
                <w:color w:val="auto"/>
                <w:szCs w:val="21"/>
                <w:highlight w:val="none"/>
              </w:rPr>
              <w:t>粘贴被授权人身份证（正、反两面复印件）</w:t>
            </w:r>
          </w:p>
        </w:tc>
      </w:tr>
    </w:tbl>
    <w:p w14:paraId="56A7A198">
      <w:pPr>
        <w:autoSpaceDE w:val="0"/>
        <w:autoSpaceDN w:val="0"/>
        <w:spacing w:line="300" w:lineRule="auto"/>
        <w:ind w:left="480" w:hanging="480"/>
        <w:rPr>
          <w:color w:val="auto"/>
          <w:szCs w:val="21"/>
          <w:highlight w:val="none"/>
        </w:rPr>
      </w:pPr>
    </w:p>
    <w:p w14:paraId="12A6990A">
      <w:pPr>
        <w:pStyle w:val="23"/>
        <w:spacing w:line="300" w:lineRule="auto"/>
        <w:rPr>
          <w:rFonts w:ascii="Times New Roman" w:hAnsi="Times New Roman" w:cs="Times New Roman"/>
          <w:color w:val="auto"/>
          <w:highlight w:val="none"/>
        </w:rPr>
      </w:pPr>
    </w:p>
    <w:p w14:paraId="26BBC346">
      <w:pPr>
        <w:pStyle w:val="23"/>
        <w:spacing w:line="300" w:lineRule="auto"/>
        <w:rPr>
          <w:rFonts w:ascii="Times New Roman" w:hAnsi="Times New Roman" w:cs="Times New Roman"/>
          <w:color w:val="auto"/>
          <w:highlight w:val="none"/>
        </w:rPr>
      </w:pPr>
      <w:r>
        <w:rPr>
          <w:rFonts w:ascii="Times New Roman" w:hAnsi="Times New Roman" w:cs="Times New Roman"/>
          <w:color w:val="auto"/>
          <w:highlight w:val="none"/>
        </w:rPr>
        <w:br w:type="page"/>
      </w:r>
      <w:r>
        <w:rPr>
          <w:rFonts w:ascii="Times New Roman" w:hAnsi="Times New Roman" w:cs="Times New Roman"/>
          <w:color w:val="auto"/>
          <w:highlight w:val="none"/>
        </w:rPr>
        <w:t>附件六</w:t>
      </w:r>
    </w:p>
    <w:p w14:paraId="415EA2A5">
      <w:pPr>
        <w:pStyle w:val="23"/>
        <w:spacing w:line="4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其他文件</w:t>
      </w:r>
    </w:p>
    <w:p w14:paraId="6A92F678">
      <w:pPr>
        <w:spacing w:line="420" w:lineRule="exact"/>
        <w:ind w:firstLine="420" w:firstLineChars="200"/>
        <w:rPr>
          <w:b/>
          <w:bCs/>
          <w:color w:val="auto"/>
          <w:szCs w:val="21"/>
          <w:highlight w:val="none"/>
        </w:rPr>
      </w:pPr>
      <w:r>
        <w:rPr>
          <w:color w:val="auto"/>
          <w:szCs w:val="21"/>
          <w:highlight w:val="none"/>
        </w:rPr>
        <w:t>6.竞标人有效的“</w:t>
      </w:r>
      <w:r>
        <w:rPr>
          <w:b/>
          <w:color w:val="auto"/>
          <w:szCs w:val="21"/>
          <w:highlight w:val="none"/>
        </w:rPr>
        <w:t>法人营业执照</w:t>
      </w:r>
      <w:r>
        <w:rPr>
          <w:color w:val="auto"/>
          <w:szCs w:val="21"/>
          <w:highlight w:val="none"/>
        </w:rPr>
        <w:t>”副本内页复印件（必须加盖单位公章）；</w:t>
      </w:r>
      <w:r>
        <w:rPr>
          <w:b/>
          <w:bCs/>
          <w:color w:val="auto"/>
          <w:szCs w:val="21"/>
          <w:highlight w:val="none"/>
        </w:rPr>
        <w:t>（必须提供）</w:t>
      </w:r>
    </w:p>
    <w:p w14:paraId="28FBD53D">
      <w:pPr>
        <w:pStyle w:val="4"/>
        <w:rPr>
          <w:color w:val="auto"/>
          <w:highlight w:val="none"/>
        </w:rPr>
      </w:pPr>
    </w:p>
    <w:p w14:paraId="6DF1DA3A">
      <w:pPr>
        <w:rPr>
          <w:color w:val="auto"/>
          <w:highlight w:val="none"/>
        </w:rPr>
      </w:pPr>
    </w:p>
    <w:p w14:paraId="530724E2">
      <w:pPr>
        <w:pStyle w:val="4"/>
        <w:rPr>
          <w:color w:val="auto"/>
          <w:highlight w:val="none"/>
        </w:rPr>
      </w:pPr>
    </w:p>
    <w:p w14:paraId="017283CF">
      <w:pPr>
        <w:spacing w:line="420" w:lineRule="exact"/>
        <w:ind w:firstLine="420" w:firstLineChars="200"/>
        <w:rPr>
          <w:color w:val="auto"/>
          <w:szCs w:val="21"/>
          <w:highlight w:val="none"/>
        </w:rPr>
      </w:pPr>
      <w:r>
        <w:rPr>
          <w:color w:val="auto"/>
          <w:kern w:val="0"/>
          <w:szCs w:val="21"/>
          <w:highlight w:val="none"/>
        </w:rPr>
        <w:t>7.</w:t>
      </w:r>
      <w:r>
        <w:rPr>
          <w:color w:val="auto"/>
          <w:szCs w:val="21"/>
          <w:highlight w:val="none"/>
        </w:rPr>
        <w:t>竞标人类似服务的业绩竞标人同类项目实施情况一览表（必须加盖单位公章）；</w:t>
      </w:r>
    </w:p>
    <w:p w14:paraId="73F4E8E3">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竞标人同类项目实施情况一览表格式：</w:t>
      </w:r>
    </w:p>
    <w:p w14:paraId="3D078920">
      <w:pPr>
        <w:spacing w:line="360" w:lineRule="auto"/>
        <w:ind w:firstLine="360"/>
        <w:jc w:val="center"/>
        <w:rPr>
          <w:b/>
          <w:color w:val="auto"/>
          <w:sz w:val="24"/>
          <w:highlight w:val="none"/>
        </w:rPr>
      </w:pPr>
      <w:r>
        <w:rPr>
          <w:b/>
          <w:color w:val="auto"/>
          <w:sz w:val="24"/>
          <w:highlight w:val="none"/>
        </w:rPr>
        <w:t>（附：采购合同或</w:t>
      </w:r>
      <w:r>
        <w:rPr>
          <w:rFonts w:hint="eastAsia"/>
          <w:b/>
          <w:color w:val="auto"/>
          <w:sz w:val="24"/>
          <w:highlight w:val="none"/>
          <w:lang w:val="en-US" w:eastAsia="zh-CN"/>
        </w:rPr>
        <w:t>账号数据截图</w:t>
      </w:r>
      <w:r>
        <w:rPr>
          <w:b/>
          <w:color w:val="auto"/>
          <w:sz w:val="24"/>
          <w:highlight w:val="none"/>
        </w:rPr>
        <w:t>，并加盖单位公章）</w:t>
      </w:r>
    </w:p>
    <w:p w14:paraId="4194BE38">
      <w:pPr>
        <w:spacing w:line="360" w:lineRule="auto"/>
        <w:ind w:firstLine="360"/>
        <w:rPr>
          <w:color w:val="auto"/>
          <w:sz w:val="24"/>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61"/>
        <w:gridCol w:w="715"/>
        <w:gridCol w:w="988"/>
        <w:gridCol w:w="1095"/>
        <w:gridCol w:w="2720"/>
        <w:gridCol w:w="1260"/>
      </w:tblGrid>
      <w:tr w14:paraId="4C9C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1249" w:type="dxa"/>
            <w:noWrap w:val="0"/>
            <w:vAlign w:val="center"/>
          </w:tcPr>
          <w:p w14:paraId="2B071FBF">
            <w:pPr>
              <w:spacing w:line="360" w:lineRule="auto"/>
              <w:jc w:val="center"/>
              <w:rPr>
                <w:color w:val="auto"/>
                <w:sz w:val="24"/>
                <w:highlight w:val="none"/>
              </w:rPr>
            </w:pPr>
            <w:r>
              <w:rPr>
                <w:color w:val="auto"/>
                <w:sz w:val="24"/>
                <w:highlight w:val="none"/>
              </w:rPr>
              <w:t>采购单位名称</w:t>
            </w:r>
          </w:p>
        </w:tc>
        <w:tc>
          <w:tcPr>
            <w:tcW w:w="1261" w:type="dxa"/>
            <w:noWrap w:val="0"/>
            <w:vAlign w:val="center"/>
          </w:tcPr>
          <w:p w14:paraId="36288626">
            <w:pPr>
              <w:spacing w:line="360" w:lineRule="auto"/>
              <w:jc w:val="center"/>
              <w:rPr>
                <w:color w:val="auto"/>
                <w:sz w:val="24"/>
                <w:highlight w:val="none"/>
              </w:rPr>
            </w:pPr>
            <w:r>
              <w:rPr>
                <w:color w:val="auto"/>
                <w:sz w:val="24"/>
                <w:highlight w:val="none"/>
              </w:rPr>
              <w:t>服务项目名称</w:t>
            </w:r>
          </w:p>
        </w:tc>
        <w:tc>
          <w:tcPr>
            <w:tcW w:w="715" w:type="dxa"/>
            <w:noWrap w:val="0"/>
            <w:vAlign w:val="center"/>
          </w:tcPr>
          <w:p w14:paraId="25454AA5">
            <w:pPr>
              <w:spacing w:line="360" w:lineRule="auto"/>
              <w:jc w:val="center"/>
              <w:rPr>
                <w:color w:val="auto"/>
                <w:sz w:val="24"/>
                <w:highlight w:val="none"/>
              </w:rPr>
            </w:pPr>
            <w:r>
              <w:rPr>
                <w:color w:val="auto"/>
                <w:sz w:val="24"/>
                <w:highlight w:val="none"/>
              </w:rPr>
              <w:t>采购</w:t>
            </w:r>
          </w:p>
          <w:p w14:paraId="6F8A010C">
            <w:pPr>
              <w:spacing w:line="360" w:lineRule="auto"/>
              <w:jc w:val="center"/>
              <w:rPr>
                <w:color w:val="auto"/>
                <w:sz w:val="24"/>
                <w:highlight w:val="none"/>
              </w:rPr>
            </w:pPr>
            <w:r>
              <w:rPr>
                <w:color w:val="auto"/>
                <w:sz w:val="24"/>
                <w:highlight w:val="none"/>
              </w:rPr>
              <w:t>数量</w:t>
            </w:r>
          </w:p>
        </w:tc>
        <w:tc>
          <w:tcPr>
            <w:tcW w:w="988" w:type="dxa"/>
            <w:noWrap w:val="0"/>
            <w:vAlign w:val="center"/>
          </w:tcPr>
          <w:p w14:paraId="26F5947F">
            <w:pPr>
              <w:spacing w:line="360" w:lineRule="auto"/>
              <w:jc w:val="center"/>
              <w:rPr>
                <w:color w:val="auto"/>
                <w:sz w:val="24"/>
                <w:highlight w:val="none"/>
              </w:rPr>
            </w:pPr>
            <w:r>
              <w:rPr>
                <w:color w:val="auto"/>
                <w:sz w:val="24"/>
                <w:highlight w:val="none"/>
              </w:rPr>
              <w:t>单价</w:t>
            </w:r>
          </w:p>
        </w:tc>
        <w:tc>
          <w:tcPr>
            <w:tcW w:w="1095" w:type="dxa"/>
            <w:noWrap w:val="0"/>
            <w:vAlign w:val="center"/>
          </w:tcPr>
          <w:p w14:paraId="5723EF36">
            <w:pPr>
              <w:spacing w:line="360" w:lineRule="auto"/>
              <w:jc w:val="center"/>
              <w:rPr>
                <w:color w:val="auto"/>
                <w:sz w:val="24"/>
                <w:highlight w:val="none"/>
              </w:rPr>
            </w:pPr>
            <w:r>
              <w:rPr>
                <w:color w:val="auto"/>
                <w:sz w:val="24"/>
                <w:highlight w:val="none"/>
              </w:rPr>
              <w:t>合同</w:t>
            </w:r>
          </w:p>
          <w:p w14:paraId="02CC9053">
            <w:pPr>
              <w:spacing w:line="360" w:lineRule="auto"/>
              <w:jc w:val="center"/>
              <w:rPr>
                <w:color w:val="auto"/>
                <w:sz w:val="24"/>
                <w:highlight w:val="none"/>
              </w:rPr>
            </w:pPr>
            <w:r>
              <w:rPr>
                <w:color w:val="auto"/>
                <w:sz w:val="24"/>
                <w:highlight w:val="none"/>
              </w:rPr>
              <w:t>金额</w:t>
            </w:r>
          </w:p>
          <w:p w14:paraId="03E4FB98">
            <w:pPr>
              <w:spacing w:line="360" w:lineRule="auto"/>
              <w:jc w:val="center"/>
              <w:rPr>
                <w:color w:val="auto"/>
                <w:sz w:val="24"/>
                <w:highlight w:val="none"/>
              </w:rPr>
            </w:pPr>
            <w:r>
              <w:rPr>
                <w:color w:val="auto"/>
                <w:sz w:val="24"/>
                <w:highlight w:val="none"/>
              </w:rPr>
              <w:t>（万元）</w:t>
            </w:r>
          </w:p>
        </w:tc>
        <w:tc>
          <w:tcPr>
            <w:tcW w:w="2720" w:type="dxa"/>
            <w:noWrap w:val="0"/>
            <w:vAlign w:val="center"/>
          </w:tcPr>
          <w:p w14:paraId="64A7B2DF">
            <w:pPr>
              <w:spacing w:line="360" w:lineRule="auto"/>
              <w:jc w:val="center"/>
              <w:rPr>
                <w:rFonts w:hint="default" w:eastAsia="宋体"/>
                <w:color w:val="auto"/>
                <w:sz w:val="24"/>
                <w:highlight w:val="none"/>
                <w:lang w:val="en-US" w:eastAsia="zh-CN"/>
              </w:rPr>
            </w:pPr>
            <w:r>
              <w:rPr>
                <w:rFonts w:hint="eastAsia"/>
                <w:color w:val="auto"/>
                <w:sz w:val="24"/>
                <w:highlight w:val="none"/>
                <w:lang w:val="en-US" w:eastAsia="zh-CN"/>
              </w:rPr>
              <w:t>合同/账号运营截图</w:t>
            </w:r>
          </w:p>
        </w:tc>
        <w:tc>
          <w:tcPr>
            <w:tcW w:w="1260" w:type="dxa"/>
            <w:noWrap w:val="0"/>
            <w:vAlign w:val="center"/>
          </w:tcPr>
          <w:p w14:paraId="4A22D1E2">
            <w:pPr>
              <w:spacing w:line="360" w:lineRule="auto"/>
              <w:jc w:val="center"/>
              <w:rPr>
                <w:color w:val="auto"/>
                <w:sz w:val="24"/>
                <w:highlight w:val="none"/>
              </w:rPr>
            </w:pPr>
            <w:r>
              <w:rPr>
                <w:color w:val="auto"/>
                <w:sz w:val="24"/>
                <w:highlight w:val="none"/>
              </w:rPr>
              <w:t>采购单位联系人及</w:t>
            </w:r>
          </w:p>
          <w:p w14:paraId="79819086">
            <w:pPr>
              <w:spacing w:line="360" w:lineRule="auto"/>
              <w:jc w:val="center"/>
              <w:rPr>
                <w:color w:val="auto"/>
                <w:sz w:val="24"/>
                <w:highlight w:val="none"/>
              </w:rPr>
            </w:pPr>
            <w:r>
              <w:rPr>
                <w:color w:val="auto"/>
                <w:sz w:val="24"/>
                <w:highlight w:val="none"/>
              </w:rPr>
              <w:t>联系电话</w:t>
            </w:r>
          </w:p>
        </w:tc>
      </w:tr>
      <w:tr w14:paraId="46DD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noWrap w:val="0"/>
            <w:vAlign w:val="center"/>
          </w:tcPr>
          <w:p w14:paraId="614B5520">
            <w:pPr>
              <w:spacing w:line="360" w:lineRule="auto"/>
              <w:jc w:val="center"/>
              <w:rPr>
                <w:color w:val="auto"/>
                <w:sz w:val="24"/>
                <w:highlight w:val="none"/>
              </w:rPr>
            </w:pPr>
          </w:p>
        </w:tc>
        <w:tc>
          <w:tcPr>
            <w:tcW w:w="1261" w:type="dxa"/>
            <w:noWrap w:val="0"/>
            <w:vAlign w:val="center"/>
          </w:tcPr>
          <w:p w14:paraId="6BAE0E01">
            <w:pPr>
              <w:spacing w:line="360" w:lineRule="auto"/>
              <w:jc w:val="center"/>
              <w:rPr>
                <w:color w:val="auto"/>
                <w:sz w:val="24"/>
                <w:highlight w:val="none"/>
              </w:rPr>
            </w:pPr>
          </w:p>
        </w:tc>
        <w:tc>
          <w:tcPr>
            <w:tcW w:w="715" w:type="dxa"/>
            <w:noWrap w:val="0"/>
            <w:vAlign w:val="center"/>
          </w:tcPr>
          <w:p w14:paraId="1BA30915">
            <w:pPr>
              <w:spacing w:line="360" w:lineRule="auto"/>
              <w:jc w:val="center"/>
              <w:rPr>
                <w:color w:val="auto"/>
                <w:sz w:val="24"/>
                <w:highlight w:val="none"/>
              </w:rPr>
            </w:pPr>
          </w:p>
        </w:tc>
        <w:tc>
          <w:tcPr>
            <w:tcW w:w="988" w:type="dxa"/>
            <w:noWrap w:val="0"/>
            <w:vAlign w:val="center"/>
          </w:tcPr>
          <w:p w14:paraId="779EF135">
            <w:pPr>
              <w:spacing w:line="360" w:lineRule="auto"/>
              <w:jc w:val="center"/>
              <w:rPr>
                <w:color w:val="auto"/>
                <w:sz w:val="24"/>
                <w:highlight w:val="none"/>
              </w:rPr>
            </w:pPr>
          </w:p>
        </w:tc>
        <w:tc>
          <w:tcPr>
            <w:tcW w:w="1095" w:type="dxa"/>
            <w:noWrap w:val="0"/>
            <w:vAlign w:val="center"/>
          </w:tcPr>
          <w:p w14:paraId="6879D300">
            <w:pPr>
              <w:spacing w:line="360" w:lineRule="auto"/>
              <w:jc w:val="center"/>
              <w:rPr>
                <w:color w:val="auto"/>
                <w:sz w:val="24"/>
                <w:highlight w:val="none"/>
              </w:rPr>
            </w:pPr>
          </w:p>
        </w:tc>
        <w:tc>
          <w:tcPr>
            <w:tcW w:w="2720" w:type="dxa"/>
            <w:noWrap w:val="0"/>
            <w:vAlign w:val="center"/>
          </w:tcPr>
          <w:p w14:paraId="35BA67B4">
            <w:pPr>
              <w:spacing w:line="360" w:lineRule="auto"/>
              <w:jc w:val="center"/>
              <w:rPr>
                <w:color w:val="auto"/>
                <w:sz w:val="24"/>
                <w:highlight w:val="none"/>
              </w:rPr>
            </w:pPr>
          </w:p>
        </w:tc>
        <w:tc>
          <w:tcPr>
            <w:tcW w:w="1260" w:type="dxa"/>
            <w:noWrap w:val="0"/>
            <w:vAlign w:val="center"/>
          </w:tcPr>
          <w:p w14:paraId="0DC7F386">
            <w:pPr>
              <w:spacing w:line="360" w:lineRule="auto"/>
              <w:jc w:val="center"/>
              <w:rPr>
                <w:color w:val="auto"/>
                <w:sz w:val="24"/>
                <w:highlight w:val="none"/>
              </w:rPr>
            </w:pPr>
          </w:p>
        </w:tc>
      </w:tr>
      <w:tr w14:paraId="411A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noWrap w:val="0"/>
            <w:vAlign w:val="center"/>
          </w:tcPr>
          <w:p w14:paraId="24E96B0D">
            <w:pPr>
              <w:spacing w:line="360" w:lineRule="auto"/>
              <w:jc w:val="center"/>
              <w:rPr>
                <w:color w:val="auto"/>
                <w:sz w:val="24"/>
                <w:highlight w:val="none"/>
              </w:rPr>
            </w:pPr>
          </w:p>
        </w:tc>
        <w:tc>
          <w:tcPr>
            <w:tcW w:w="1261" w:type="dxa"/>
            <w:noWrap w:val="0"/>
            <w:vAlign w:val="center"/>
          </w:tcPr>
          <w:p w14:paraId="08E8048D">
            <w:pPr>
              <w:spacing w:line="360" w:lineRule="auto"/>
              <w:jc w:val="center"/>
              <w:rPr>
                <w:color w:val="auto"/>
                <w:sz w:val="24"/>
                <w:highlight w:val="none"/>
              </w:rPr>
            </w:pPr>
          </w:p>
        </w:tc>
        <w:tc>
          <w:tcPr>
            <w:tcW w:w="715" w:type="dxa"/>
            <w:noWrap w:val="0"/>
            <w:vAlign w:val="center"/>
          </w:tcPr>
          <w:p w14:paraId="1FF26B45">
            <w:pPr>
              <w:spacing w:line="360" w:lineRule="auto"/>
              <w:jc w:val="center"/>
              <w:rPr>
                <w:color w:val="auto"/>
                <w:sz w:val="24"/>
                <w:highlight w:val="none"/>
              </w:rPr>
            </w:pPr>
          </w:p>
        </w:tc>
        <w:tc>
          <w:tcPr>
            <w:tcW w:w="988" w:type="dxa"/>
            <w:noWrap w:val="0"/>
            <w:vAlign w:val="center"/>
          </w:tcPr>
          <w:p w14:paraId="1E3F08A9">
            <w:pPr>
              <w:spacing w:line="360" w:lineRule="auto"/>
              <w:jc w:val="center"/>
              <w:rPr>
                <w:color w:val="auto"/>
                <w:sz w:val="24"/>
                <w:highlight w:val="none"/>
              </w:rPr>
            </w:pPr>
          </w:p>
        </w:tc>
        <w:tc>
          <w:tcPr>
            <w:tcW w:w="1095" w:type="dxa"/>
            <w:noWrap w:val="0"/>
            <w:vAlign w:val="center"/>
          </w:tcPr>
          <w:p w14:paraId="192EC905">
            <w:pPr>
              <w:spacing w:line="360" w:lineRule="auto"/>
              <w:jc w:val="center"/>
              <w:rPr>
                <w:color w:val="auto"/>
                <w:sz w:val="24"/>
                <w:highlight w:val="none"/>
              </w:rPr>
            </w:pPr>
          </w:p>
        </w:tc>
        <w:tc>
          <w:tcPr>
            <w:tcW w:w="2720" w:type="dxa"/>
            <w:noWrap w:val="0"/>
            <w:vAlign w:val="center"/>
          </w:tcPr>
          <w:p w14:paraId="68444B65">
            <w:pPr>
              <w:spacing w:line="360" w:lineRule="auto"/>
              <w:jc w:val="center"/>
              <w:rPr>
                <w:color w:val="auto"/>
                <w:sz w:val="24"/>
                <w:highlight w:val="none"/>
              </w:rPr>
            </w:pPr>
          </w:p>
        </w:tc>
        <w:tc>
          <w:tcPr>
            <w:tcW w:w="1260" w:type="dxa"/>
            <w:noWrap w:val="0"/>
            <w:vAlign w:val="center"/>
          </w:tcPr>
          <w:p w14:paraId="3E870863">
            <w:pPr>
              <w:spacing w:line="360" w:lineRule="auto"/>
              <w:jc w:val="center"/>
              <w:rPr>
                <w:color w:val="auto"/>
                <w:sz w:val="24"/>
                <w:highlight w:val="none"/>
              </w:rPr>
            </w:pPr>
          </w:p>
        </w:tc>
      </w:tr>
      <w:tr w14:paraId="6CBC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9" w:type="dxa"/>
            <w:noWrap w:val="0"/>
            <w:vAlign w:val="center"/>
          </w:tcPr>
          <w:p w14:paraId="2FBE072E">
            <w:pPr>
              <w:spacing w:line="360" w:lineRule="auto"/>
              <w:jc w:val="center"/>
              <w:rPr>
                <w:color w:val="auto"/>
                <w:sz w:val="24"/>
                <w:highlight w:val="none"/>
              </w:rPr>
            </w:pPr>
          </w:p>
        </w:tc>
        <w:tc>
          <w:tcPr>
            <w:tcW w:w="1261" w:type="dxa"/>
            <w:noWrap w:val="0"/>
            <w:vAlign w:val="center"/>
          </w:tcPr>
          <w:p w14:paraId="42F9BE18">
            <w:pPr>
              <w:spacing w:line="360" w:lineRule="auto"/>
              <w:jc w:val="center"/>
              <w:rPr>
                <w:color w:val="auto"/>
                <w:sz w:val="24"/>
                <w:highlight w:val="none"/>
              </w:rPr>
            </w:pPr>
          </w:p>
        </w:tc>
        <w:tc>
          <w:tcPr>
            <w:tcW w:w="715" w:type="dxa"/>
            <w:noWrap w:val="0"/>
            <w:vAlign w:val="center"/>
          </w:tcPr>
          <w:p w14:paraId="5DDED40E">
            <w:pPr>
              <w:spacing w:line="360" w:lineRule="auto"/>
              <w:jc w:val="center"/>
              <w:rPr>
                <w:color w:val="auto"/>
                <w:sz w:val="24"/>
                <w:highlight w:val="none"/>
              </w:rPr>
            </w:pPr>
          </w:p>
        </w:tc>
        <w:tc>
          <w:tcPr>
            <w:tcW w:w="988" w:type="dxa"/>
            <w:noWrap w:val="0"/>
            <w:vAlign w:val="center"/>
          </w:tcPr>
          <w:p w14:paraId="72565956">
            <w:pPr>
              <w:spacing w:line="360" w:lineRule="auto"/>
              <w:jc w:val="center"/>
              <w:rPr>
                <w:color w:val="auto"/>
                <w:sz w:val="24"/>
                <w:highlight w:val="none"/>
              </w:rPr>
            </w:pPr>
          </w:p>
        </w:tc>
        <w:tc>
          <w:tcPr>
            <w:tcW w:w="1095" w:type="dxa"/>
            <w:noWrap w:val="0"/>
            <w:vAlign w:val="center"/>
          </w:tcPr>
          <w:p w14:paraId="3AD29E8C">
            <w:pPr>
              <w:spacing w:line="360" w:lineRule="auto"/>
              <w:jc w:val="center"/>
              <w:rPr>
                <w:color w:val="auto"/>
                <w:sz w:val="24"/>
                <w:highlight w:val="none"/>
              </w:rPr>
            </w:pPr>
          </w:p>
        </w:tc>
        <w:tc>
          <w:tcPr>
            <w:tcW w:w="2720" w:type="dxa"/>
            <w:noWrap w:val="0"/>
            <w:vAlign w:val="center"/>
          </w:tcPr>
          <w:p w14:paraId="0DE85A1D">
            <w:pPr>
              <w:spacing w:line="360" w:lineRule="auto"/>
              <w:jc w:val="center"/>
              <w:rPr>
                <w:color w:val="auto"/>
                <w:sz w:val="24"/>
                <w:highlight w:val="none"/>
              </w:rPr>
            </w:pPr>
          </w:p>
        </w:tc>
        <w:tc>
          <w:tcPr>
            <w:tcW w:w="1260" w:type="dxa"/>
            <w:noWrap w:val="0"/>
            <w:vAlign w:val="center"/>
          </w:tcPr>
          <w:p w14:paraId="37760D2E">
            <w:pPr>
              <w:spacing w:line="360" w:lineRule="auto"/>
              <w:jc w:val="center"/>
              <w:rPr>
                <w:color w:val="auto"/>
                <w:sz w:val="24"/>
                <w:highlight w:val="none"/>
              </w:rPr>
            </w:pPr>
          </w:p>
        </w:tc>
      </w:tr>
    </w:tbl>
    <w:p w14:paraId="40C1E1C1">
      <w:pPr>
        <w:snapToGrid w:val="0"/>
        <w:spacing w:before="50" w:after="159" w:afterLines="50"/>
        <w:jc w:val="left"/>
        <w:rPr>
          <w:color w:val="auto"/>
          <w:sz w:val="24"/>
          <w:highlight w:val="none"/>
        </w:rPr>
      </w:pPr>
      <w:r>
        <w:rPr>
          <w:color w:val="auto"/>
          <w:sz w:val="24"/>
          <w:szCs w:val="20"/>
          <w:highlight w:val="none"/>
        </w:rPr>
        <w:t>注：在填写时，如本表格不适合投标单位的实际情况，可根据本表格式自行制表填写。</w:t>
      </w:r>
    </w:p>
    <w:p w14:paraId="4D1621C3">
      <w:pPr>
        <w:spacing w:line="360" w:lineRule="auto"/>
        <w:ind w:left="-317" w:leftChars="-151" w:firstLine="480" w:firstLineChars="200"/>
        <w:rPr>
          <w:color w:val="auto"/>
          <w:sz w:val="24"/>
          <w:highlight w:val="none"/>
          <w:u w:val="single"/>
        </w:rPr>
      </w:pPr>
      <w:r>
        <w:rPr>
          <w:color w:val="auto"/>
          <w:sz w:val="24"/>
          <w:highlight w:val="none"/>
        </w:rPr>
        <w:t>法定代表人（负责人或自然人）或其授权代表签字：</w:t>
      </w:r>
      <w:r>
        <w:rPr>
          <w:color w:val="auto"/>
          <w:sz w:val="24"/>
          <w:highlight w:val="none"/>
          <w:u w:val="single"/>
        </w:rPr>
        <w:t xml:space="preserve">                           </w:t>
      </w:r>
    </w:p>
    <w:p w14:paraId="77BE7F1F">
      <w:pPr>
        <w:spacing w:line="360" w:lineRule="auto"/>
        <w:rPr>
          <w:color w:val="auto"/>
          <w:sz w:val="24"/>
          <w:highlight w:val="none"/>
        </w:rPr>
      </w:pPr>
      <w:r>
        <w:rPr>
          <w:color w:val="auto"/>
          <w:sz w:val="24"/>
          <w:highlight w:val="none"/>
        </w:rPr>
        <w:t xml:space="preserve"> 竞标人公章：</w:t>
      </w:r>
      <w:r>
        <w:rPr>
          <w:b/>
          <w:color w:val="auto"/>
          <w:sz w:val="24"/>
          <w:highlight w:val="none"/>
          <w:u w:val="single"/>
        </w:rPr>
        <w:t xml:space="preserve">                      </w:t>
      </w:r>
      <w:r>
        <w:rPr>
          <w:color w:val="auto"/>
          <w:sz w:val="24"/>
          <w:highlight w:val="none"/>
        </w:rPr>
        <w:t xml:space="preserve">   </w:t>
      </w:r>
    </w:p>
    <w:p w14:paraId="4DBAA867">
      <w:pPr>
        <w:spacing w:line="360" w:lineRule="auto"/>
        <w:ind w:firstLine="7320" w:firstLineChars="3050"/>
        <w:rPr>
          <w:color w:val="auto"/>
          <w:sz w:val="24"/>
          <w:highlight w:val="none"/>
        </w:rPr>
      </w:pPr>
      <w:r>
        <w:rPr>
          <w:color w:val="auto"/>
          <w:sz w:val="24"/>
          <w:highlight w:val="none"/>
        </w:rPr>
        <w:t>年   月   日</w:t>
      </w:r>
    </w:p>
    <w:p w14:paraId="1B31A4EA">
      <w:pPr>
        <w:pStyle w:val="4"/>
        <w:rPr>
          <w:color w:val="auto"/>
          <w:highlight w:val="none"/>
        </w:rPr>
      </w:pPr>
    </w:p>
    <w:p w14:paraId="7EE4C259">
      <w:pPr>
        <w:spacing w:line="420" w:lineRule="exact"/>
        <w:ind w:firstLine="420" w:firstLineChars="200"/>
        <w:rPr>
          <w:color w:val="auto"/>
          <w:kern w:val="0"/>
          <w:szCs w:val="21"/>
          <w:highlight w:val="none"/>
        </w:rPr>
      </w:pPr>
    </w:p>
    <w:p w14:paraId="7868EE48">
      <w:pPr>
        <w:spacing w:line="420" w:lineRule="exact"/>
        <w:ind w:firstLine="420" w:firstLineChars="200"/>
        <w:rPr>
          <w:color w:val="auto"/>
          <w:kern w:val="0"/>
          <w:szCs w:val="21"/>
          <w:highlight w:val="none"/>
        </w:rPr>
      </w:pPr>
    </w:p>
    <w:p w14:paraId="32A827D7">
      <w:pPr>
        <w:spacing w:line="420" w:lineRule="exact"/>
        <w:ind w:firstLine="420" w:firstLineChars="200"/>
        <w:rPr>
          <w:color w:val="auto"/>
          <w:kern w:val="0"/>
          <w:szCs w:val="21"/>
          <w:highlight w:val="none"/>
        </w:rPr>
      </w:pPr>
      <w:r>
        <w:rPr>
          <w:color w:val="auto"/>
          <w:kern w:val="0"/>
          <w:szCs w:val="21"/>
          <w:highlight w:val="none"/>
        </w:rPr>
        <w:t>8.其他特殊资质证明；</w:t>
      </w:r>
    </w:p>
    <w:p w14:paraId="00976C84">
      <w:pPr>
        <w:adjustRightInd w:val="0"/>
        <w:snapToGrid w:val="0"/>
        <w:spacing w:line="400" w:lineRule="exact"/>
        <w:ind w:firstLine="420" w:firstLineChars="200"/>
        <w:rPr>
          <w:color w:val="auto"/>
          <w:szCs w:val="21"/>
          <w:highlight w:val="none"/>
        </w:rPr>
      </w:pPr>
      <w:r>
        <w:rPr>
          <w:rFonts w:hint="eastAsia"/>
          <w:color w:val="auto"/>
          <w:szCs w:val="21"/>
          <w:highlight w:val="none"/>
        </w:rPr>
        <w:t>9</w:t>
      </w:r>
      <w:r>
        <w:rPr>
          <w:color w:val="auto"/>
          <w:szCs w:val="21"/>
          <w:highlight w:val="none"/>
        </w:rPr>
        <w:t>.竞标人认为可以证明其能力或业绩的其他材料；</w:t>
      </w:r>
    </w:p>
    <w:p w14:paraId="3E539A99">
      <w:pPr>
        <w:adjustRightInd w:val="0"/>
        <w:snapToGrid w:val="0"/>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rPr>
        <w:t>0</w:t>
      </w:r>
      <w:r>
        <w:rPr>
          <w:color w:val="auto"/>
          <w:szCs w:val="21"/>
          <w:highlight w:val="none"/>
        </w:rPr>
        <w:t>.项目实施人员一览表</w:t>
      </w:r>
      <w:r>
        <w:rPr>
          <w:b/>
          <w:bCs/>
          <w:color w:val="auto"/>
          <w:szCs w:val="21"/>
          <w:highlight w:val="none"/>
        </w:rPr>
        <w:t>（必须提供）</w:t>
      </w:r>
      <w:r>
        <w:rPr>
          <w:color w:val="auto"/>
          <w:szCs w:val="21"/>
          <w:highlight w:val="none"/>
        </w:rPr>
        <w:t>；</w:t>
      </w:r>
    </w:p>
    <w:p w14:paraId="74AA1362">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项目实施人员（主要从业人员及其技术资格）一览表</w:t>
      </w:r>
    </w:p>
    <w:tbl>
      <w:tblPr>
        <w:tblStyle w:val="4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2583"/>
      </w:tblGrid>
      <w:tr w14:paraId="4CEF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98497C0">
            <w:pPr>
              <w:snapToGrid w:val="0"/>
              <w:spacing w:before="50" w:after="159" w:afterLines="50"/>
              <w:jc w:val="center"/>
              <w:rPr>
                <w:color w:val="auto"/>
                <w:sz w:val="24"/>
                <w:szCs w:val="20"/>
                <w:highlight w:val="none"/>
              </w:rPr>
            </w:pPr>
            <w:r>
              <w:rPr>
                <w:color w:val="auto"/>
                <w:sz w:val="24"/>
                <w:szCs w:val="20"/>
                <w:highlight w:val="none"/>
              </w:rPr>
              <w:t>姓名</w:t>
            </w:r>
          </w:p>
        </w:tc>
        <w:tc>
          <w:tcPr>
            <w:tcW w:w="709" w:type="dxa"/>
            <w:noWrap w:val="0"/>
            <w:vAlign w:val="center"/>
          </w:tcPr>
          <w:p w14:paraId="1C5452EF">
            <w:pPr>
              <w:snapToGrid w:val="0"/>
              <w:spacing w:before="50" w:after="159" w:afterLines="50"/>
              <w:jc w:val="center"/>
              <w:rPr>
                <w:color w:val="auto"/>
                <w:sz w:val="24"/>
                <w:szCs w:val="20"/>
                <w:highlight w:val="none"/>
              </w:rPr>
            </w:pPr>
            <w:r>
              <w:rPr>
                <w:color w:val="auto"/>
                <w:sz w:val="24"/>
                <w:szCs w:val="20"/>
                <w:highlight w:val="none"/>
              </w:rPr>
              <w:t>职务</w:t>
            </w:r>
          </w:p>
        </w:tc>
        <w:tc>
          <w:tcPr>
            <w:tcW w:w="1701" w:type="dxa"/>
            <w:noWrap w:val="0"/>
            <w:vAlign w:val="center"/>
          </w:tcPr>
          <w:p w14:paraId="0064711A">
            <w:pPr>
              <w:snapToGrid w:val="0"/>
              <w:spacing w:before="50" w:after="159" w:afterLines="50"/>
              <w:jc w:val="center"/>
              <w:rPr>
                <w:color w:val="auto"/>
                <w:sz w:val="24"/>
                <w:szCs w:val="20"/>
                <w:highlight w:val="none"/>
              </w:rPr>
            </w:pPr>
            <w:r>
              <w:rPr>
                <w:color w:val="auto"/>
                <w:sz w:val="24"/>
                <w:szCs w:val="20"/>
                <w:highlight w:val="none"/>
              </w:rPr>
              <w:t>专业技术资格</w:t>
            </w:r>
          </w:p>
        </w:tc>
        <w:tc>
          <w:tcPr>
            <w:tcW w:w="1420" w:type="dxa"/>
            <w:noWrap w:val="0"/>
            <w:vAlign w:val="center"/>
          </w:tcPr>
          <w:p w14:paraId="4F26236A">
            <w:pPr>
              <w:snapToGrid w:val="0"/>
              <w:spacing w:before="50" w:after="159" w:afterLines="50"/>
              <w:jc w:val="center"/>
              <w:rPr>
                <w:color w:val="auto"/>
                <w:sz w:val="24"/>
                <w:szCs w:val="20"/>
                <w:highlight w:val="none"/>
              </w:rPr>
            </w:pPr>
            <w:r>
              <w:rPr>
                <w:color w:val="auto"/>
                <w:sz w:val="24"/>
                <w:szCs w:val="20"/>
                <w:highlight w:val="none"/>
              </w:rPr>
              <w:t>证书编号</w:t>
            </w:r>
          </w:p>
        </w:tc>
        <w:tc>
          <w:tcPr>
            <w:tcW w:w="1698" w:type="dxa"/>
            <w:noWrap w:val="0"/>
            <w:vAlign w:val="center"/>
          </w:tcPr>
          <w:p w14:paraId="5D35B71E">
            <w:pPr>
              <w:snapToGrid w:val="0"/>
              <w:spacing w:before="50" w:after="159" w:afterLines="50"/>
              <w:jc w:val="center"/>
              <w:rPr>
                <w:color w:val="auto"/>
                <w:sz w:val="24"/>
                <w:szCs w:val="20"/>
                <w:highlight w:val="none"/>
              </w:rPr>
            </w:pPr>
            <w:r>
              <w:rPr>
                <w:color w:val="auto"/>
                <w:sz w:val="24"/>
                <w:szCs w:val="20"/>
                <w:highlight w:val="none"/>
              </w:rPr>
              <w:t>参加本单位</w:t>
            </w:r>
          </w:p>
          <w:p w14:paraId="50FF9BD7">
            <w:pPr>
              <w:snapToGrid w:val="0"/>
              <w:spacing w:before="50" w:after="159" w:afterLines="50"/>
              <w:jc w:val="center"/>
              <w:rPr>
                <w:color w:val="auto"/>
                <w:sz w:val="24"/>
                <w:szCs w:val="20"/>
                <w:highlight w:val="none"/>
              </w:rPr>
            </w:pPr>
            <w:r>
              <w:rPr>
                <w:color w:val="auto"/>
                <w:sz w:val="24"/>
                <w:szCs w:val="20"/>
                <w:highlight w:val="none"/>
              </w:rPr>
              <w:t>工作时间</w:t>
            </w:r>
          </w:p>
        </w:tc>
        <w:tc>
          <w:tcPr>
            <w:tcW w:w="2583" w:type="dxa"/>
            <w:noWrap w:val="0"/>
            <w:vAlign w:val="center"/>
          </w:tcPr>
          <w:p w14:paraId="1E25C181">
            <w:pPr>
              <w:snapToGrid w:val="0"/>
              <w:spacing w:before="50" w:after="159" w:afterLines="50"/>
              <w:jc w:val="center"/>
              <w:rPr>
                <w:color w:val="auto"/>
                <w:sz w:val="24"/>
                <w:szCs w:val="20"/>
                <w:highlight w:val="none"/>
              </w:rPr>
            </w:pPr>
            <w:r>
              <w:rPr>
                <w:color w:val="auto"/>
                <w:sz w:val="24"/>
                <w:szCs w:val="20"/>
                <w:highlight w:val="none"/>
              </w:rPr>
              <w:t>劳动合同编号</w:t>
            </w:r>
          </w:p>
        </w:tc>
      </w:tr>
      <w:tr w14:paraId="1445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7A38B04">
            <w:pPr>
              <w:snapToGrid w:val="0"/>
              <w:spacing w:before="50" w:after="159" w:afterLines="50"/>
              <w:jc w:val="center"/>
              <w:rPr>
                <w:color w:val="auto"/>
                <w:sz w:val="24"/>
                <w:szCs w:val="20"/>
                <w:highlight w:val="none"/>
              </w:rPr>
            </w:pPr>
          </w:p>
        </w:tc>
        <w:tc>
          <w:tcPr>
            <w:tcW w:w="709" w:type="dxa"/>
            <w:noWrap w:val="0"/>
            <w:vAlign w:val="center"/>
          </w:tcPr>
          <w:p w14:paraId="6CCAE824">
            <w:pPr>
              <w:snapToGrid w:val="0"/>
              <w:spacing w:before="50" w:after="159" w:afterLines="50"/>
              <w:jc w:val="center"/>
              <w:rPr>
                <w:color w:val="auto"/>
                <w:sz w:val="24"/>
                <w:szCs w:val="20"/>
                <w:highlight w:val="none"/>
              </w:rPr>
            </w:pPr>
          </w:p>
        </w:tc>
        <w:tc>
          <w:tcPr>
            <w:tcW w:w="1701" w:type="dxa"/>
            <w:noWrap w:val="0"/>
            <w:vAlign w:val="center"/>
          </w:tcPr>
          <w:p w14:paraId="1667431B">
            <w:pPr>
              <w:snapToGrid w:val="0"/>
              <w:spacing w:before="50" w:after="159" w:afterLines="50"/>
              <w:jc w:val="center"/>
              <w:rPr>
                <w:color w:val="auto"/>
                <w:sz w:val="24"/>
                <w:szCs w:val="20"/>
                <w:highlight w:val="none"/>
              </w:rPr>
            </w:pPr>
          </w:p>
        </w:tc>
        <w:tc>
          <w:tcPr>
            <w:tcW w:w="1420" w:type="dxa"/>
            <w:noWrap w:val="0"/>
            <w:vAlign w:val="center"/>
          </w:tcPr>
          <w:p w14:paraId="1272735C">
            <w:pPr>
              <w:snapToGrid w:val="0"/>
              <w:spacing w:before="50" w:after="159" w:afterLines="50"/>
              <w:jc w:val="center"/>
              <w:rPr>
                <w:color w:val="auto"/>
                <w:sz w:val="24"/>
                <w:szCs w:val="20"/>
                <w:highlight w:val="none"/>
              </w:rPr>
            </w:pPr>
          </w:p>
        </w:tc>
        <w:tc>
          <w:tcPr>
            <w:tcW w:w="1698" w:type="dxa"/>
            <w:noWrap w:val="0"/>
            <w:vAlign w:val="center"/>
          </w:tcPr>
          <w:p w14:paraId="38C0E028">
            <w:pPr>
              <w:snapToGrid w:val="0"/>
              <w:spacing w:before="50" w:after="159" w:afterLines="50"/>
              <w:jc w:val="center"/>
              <w:rPr>
                <w:color w:val="auto"/>
                <w:sz w:val="24"/>
                <w:szCs w:val="20"/>
                <w:highlight w:val="none"/>
              </w:rPr>
            </w:pPr>
          </w:p>
        </w:tc>
        <w:tc>
          <w:tcPr>
            <w:tcW w:w="2583" w:type="dxa"/>
            <w:noWrap w:val="0"/>
            <w:vAlign w:val="center"/>
          </w:tcPr>
          <w:p w14:paraId="48F106FB">
            <w:pPr>
              <w:snapToGrid w:val="0"/>
              <w:spacing w:before="50" w:after="159" w:afterLines="50"/>
              <w:jc w:val="center"/>
              <w:rPr>
                <w:color w:val="auto"/>
                <w:sz w:val="24"/>
                <w:szCs w:val="20"/>
                <w:highlight w:val="none"/>
              </w:rPr>
            </w:pPr>
          </w:p>
        </w:tc>
      </w:tr>
      <w:tr w14:paraId="371E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954A77F">
            <w:pPr>
              <w:snapToGrid w:val="0"/>
              <w:spacing w:before="50" w:after="159" w:afterLines="50"/>
              <w:jc w:val="center"/>
              <w:rPr>
                <w:color w:val="auto"/>
                <w:sz w:val="24"/>
                <w:szCs w:val="20"/>
                <w:highlight w:val="none"/>
              </w:rPr>
            </w:pPr>
          </w:p>
        </w:tc>
        <w:tc>
          <w:tcPr>
            <w:tcW w:w="709" w:type="dxa"/>
            <w:noWrap w:val="0"/>
            <w:vAlign w:val="center"/>
          </w:tcPr>
          <w:p w14:paraId="397E65DD">
            <w:pPr>
              <w:snapToGrid w:val="0"/>
              <w:spacing w:before="50" w:after="159" w:afterLines="50"/>
              <w:jc w:val="center"/>
              <w:rPr>
                <w:color w:val="auto"/>
                <w:sz w:val="24"/>
                <w:szCs w:val="20"/>
                <w:highlight w:val="none"/>
              </w:rPr>
            </w:pPr>
          </w:p>
        </w:tc>
        <w:tc>
          <w:tcPr>
            <w:tcW w:w="1701" w:type="dxa"/>
            <w:noWrap w:val="0"/>
            <w:vAlign w:val="center"/>
          </w:tcPr>
          <w:p w14:paraId="65C05A8A">
            <w:pPr>
              <w:snapToGrid w:val="0"/>
              <w:spacing w:before="50" w:after="159" w:afterLines="50"/>
              <w:jc w:val="center"/>
              <w:rPr>
                <w:color w:val="auto"/>
                <w:sz w:val="24"/>
                <w:szCs w:val="20"/>
                <w:highlight w:val="none"/>
              </w:rPr>
            </w:pPr>
          </w:p>
        </w:tc>
        <w:tc>
          <w:tcPr>
            <w:tcW w:w="1420" w:type="dxa"/>
            <w:noWrap w:val="0"/>
            <w:vAlign w:val="center"/>
          </w:tcPr>
          <w:p w14:paraId="660F0197">
            <w:pPr>
              <w:snapToGrid w:val="0"/>
              <w:spacing w:before="50" w:after="159" w:afterLines="50"/>
              <w:jc w:val="center"/>
              <w:rPr>
                <w:color w:val="auto"/>
                <w:sz w:val="24"/>
                <w:szCs w:val="20"/>
                <w:highlight w:val="none"/>
              </w:rPr>
            </w:pPr>
          </w:p>
        </w:tc>
        <w:tc>
          <w:tcPr>
            <w:tcW w:w="1698" w:type="dxa"/>
            <w:noWrap w:val="0"/>
            <w:vAlign w:val="center"/>
          </w:tcPr>
          <w:p w14:paraId="6297F14D">
            <w:pPr>
              <w:snapToGrid w:val="0"/>
              <w:spacing w:before="50" w:after="159" w:afterLines="50"/>
              <w:jc w:val="center"/>
              <w:rPr>
                <w:color w:val="auto"/>
                <w:sz w:val="24"/>
                <w:szCs w:val="20"/>
                <w:highlight w:val="none"/>
              </w:rPr>
            </w:pPr>
          </w:p>
        </w:tc>
        <w:tc>
          <w:tcPr>
            <w:tcW w:w="2583" w:type="dxa"/>
            <w:noWrap w:val="0"/>
            <w:vAlign w:val="center"/>
          </w:tcPr>
          <w:p w14:paraId="475AE0B7">
            <w:pPr>
              <w:snapToGrid w:val="0"/>
              <w:spacing w:before="50" w:after="159" w:afterLines="50"/>
              <w:jc w:val="center"/>
              <w:rPr>
                <w:color w:val="auto"/>
                <w:sz w:val="24"/>
                <w:szCs w:val="20"/>
                <w:highlight w:val="none"/>
              </w:rPr>
            </w:pPr>
          </w:p>
        </w:tc>
      </w:tr>
      <w:tr w14:paraId="4727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91BD029">
            <w:pPr>
              <w:snapToGrid w:val="0"/>
              <w:spacing w:before="50" w:after="159" w:afterLines="50"/>
              <w:jc w:val="center"/>
              <w:rPr>
                <w:color w:val="auto"/>
                <w:sz w:val="24"/>
                <w:szCs w:val="20"/>
                <w:highlight w:val="none"/>
              </w:rPr>
            </w:pPr>
          </w:p>
        </w:tc>
        <w:tc>
          <w:tcPr>
            <w:tcW w:w="709" w:type="dxa"/>
            <w:noWrap w:val="0"/>
            <w:vAlign w:val="center"/>
          </w:tcPr>
          <w:p w14:paraId="7A0AE309">
            <w:pPr>
              <w:snapToGrid w:val="0"/>
              <w:spacing w:before="50" w:after="159" w:afterLines="50"/>
              <w:jc w:val="center"/>
              <w:rPr>
                <w:color w:val="auto"/>
                <w:sz w:val="24"/>
                <w:szCs w:val="20"/>
                <w:highlight w:val="none"/>
              </w:rPr>
            </w:pPr>
          </w:p>
        </w:tc>
        <w:tc>
          <w:tcPr>
            <w:tcW w:w="1701" w:type="dxa"/>
            <w:noWrap w:val="0"/>
            <w:vAlign w:val="center"/>
          </w:tcPr>
          <w:p w14:paraId="4F01E929">
            <w:pPr>
              <w:snapToGrid w:val="0"/>
              <w:spacing w:before="50" w:after="159" w:afterLines="50"/>
              <w:jc w:val="center"/>
              <w:rPr>
                <w:color w:val="auto"/>
                <w:sz w:val="24"/>
                <w:szCs w:val="20"/>
                <w:highlight w:val="none"/>
              </w:rPr>
            </w:pPr>
          </w:p>
        </w:tc>
        <w:tc>
          <w:tcPr>
            <w:tcW w:w="1420" w:type="dxa"/>
            <w:noWrap w:val="0"/>
            <w:vAlign w:val="center"/>
          </w:tcPr>
          <w:p w14:paraId="6749D21D">
            <w:pPr>
              <w:snapToGrid w:val="0"/>
              <w:spacing w:before="50" w:after="159" w:afterLines="50"/>
              <w:jc w:val="center"/>
              <w:rPr>
                <w:color w:val="auto"/>
                <w:sz w:val="24"/>
                <w:szCs w:val="20"/>
                <w:highlight w:val="none"/>
              </w:rPr>
            </w:pPr>
          </w:p>
        </w:tc>
        <w:tc>
          <w:tcPr>
            <w:tcW w:w="1698" w:type="dxa"/>
            <w:noWrap w:val="0"/>
            <w:vAlign w:val="center"/>
          </w:tcPr>
          <w:p w14:paraId="7820AEAD">
            <w:pPr>
              <w:snapToGrid w:val="0"/>
              <w:spacing w:before="50" w:after="159" w:afterLines="50"/>
              <w:jc w:val="center"/>
              <w:rPr>
                <w:color w:val="auto"/>
                <w:sz w:val="24"/>
                <w:szCs w:val="20"/>
                <w:highlight w:val="none"/>
              </w:rPr>
            </w:pPr>
          </w:p>
        </w:tc>
        <w:tc>
          <w:tcPr>
            <w:tcW w:w="2583" w:type="dxa"/>
            <w:noWrap w:val="0"/>
            <w:vAlign w:val="center"/>
          </w:tcPr>
          <w:p w14:paraId="04C8E639">
            <w:pPr>
              <w:snapToGrid w:val="0"/>
              <w:spacing w:before="50" w:after="159" w:afterLines="50"/>
              <w:jc w:val="center"/>
              <w:rPr>
                <w:color w:val="auto"/>
                <w:sz w:val="24"/>
                <w:szCs w:val="20"/>
                <w:highlight w:val="none"/>
              </w:rPr>
            </w:pPr>
          </w:p>
        </w:tc>
      </w:tr>
    </w:tbl>
    <w:p w14:paraId="49F6D600">
      <w:pPr>
        <w:snapToGrid w:val="0"/>
        <w:spacing w:before="50" w:after="159" w:afterLines="50"/>
        <w:jc w:val="left"/>
        <w:rPr>
          <w:color w:val="auto"/>
          <w:sz w:val="24"/>
          <w:szCs w:val="20"/>
          <w:highlight w:val="none"/>
        </w:rPr>
      </w:pPr>
      <w:r>
        <w:rPr>
          <w:color w:val="auto"/>
          <w:sz w:val="24"/>
          <w:szCs w:val="20"/>
          <w:highlight w:val="none"/>
        </w:rPr>
        <w:t>注：在填写时，如本表格不适合投标单位的实际情况，可根据本表格式自行制表填写。</w:t>
      </w:r>
    </w:p>
    <w:p w14:paraId="348B60D0">
      <w:pPr>
        <w:shd w:val="clear" w:color="auto" w:fill="auto"/>
        <w:snapToGrid w:val="0"/>
        <w:spacing w:before="50" w:after="50"/>
        <w:rPr>
          <w:color w:val="auto"/>
          <w:spacing w:val="20"/>
          <w:sz w:val="24"/>
          <w:szCs w:val="20"/>
          <w:highlight w:val="none"/>
          <w:u w:val="single"/>
        </w:rPr>
      </w:pPr>
      <w:r>
        <w:rPr>
          <w:color w:val="auto"/>
          <w:sz w:val="24"/>
          <w:highlight w:val="none"/>
        </w:rPr>
        <w:t>法定代表人或被授权人</w:t>
      </w:r>
      <w:r>
        <w:rPr>
          <w:color w:val="auto"/>
          <w:spacing w:val="20"/>
          <w:sz w:val="24"/>
          <w:highlight w:val="none"/>
        </w:rPr>
        <w:t>签名：</w:t>
      </w:r>
      <w:r>
        <w:rPr>
          <w:color w:val="auto"/>
          <w:spacing w:val="20"/>
          <w:sz w:val="24"/>
          <w:highlight w:val="none"/>
          <w:u w:val="single"/>
        </w:rPr>
        <w:t xml:space="preserve">        </w:t>
      </w:r>
    </w:p>
    <w:p w14:paraId="463E915C">
      <w:pPr>
        <w:shd w:val="clear" w:color="auto" w:fill="auto"/>
        <w:snapToGrid w:val="0"/>
        <w:spacing w:before="50" w:after="159" w:afterLines="50"/>
        <w:jc w:val="left"/>
        <w:rPr>
          <w:color w:val="auto"/>
          <w:spacing w:val="20"/>
          <w:sz w:val="24"/>
          <w:highlight w:val="none"/>
          <w:u w:val="single"/>
        </w:rPr>
      </w:pPr>
      <w:r>
        <w:rPr>
          <w:rFonts w:hint="eastAsia"/>
          <w:color w:val="auto"/>
          <w:spacing w:val="20"/>
          <w:sz w:val="24"/>
          <w:highlight w:val="none"/>
        </w:rPr>
        <w:t>竞标人</w:t>
      </w:r>
      <w:r>
        <w:rPr>
          <w:color w:val="auto"/>
          <w:spacing w:val="20"/>
          <w:sz w:val="24"/>
          <w:highlight w:val="none"/>
        </w:rPr>
        <w:t>盖公章：</w:t>
      </w:r>
      <w:r>
        <w:rPr>
          <w:color w:val="auto"/>
          <w:spacing w:val="20"/>
          <w:sz w:val="24"/>
          <w:highlight w:val="none"/>
          <w:u w:val="single"/>
        </w:rPr>
        <w:t xml:space="preserve">            </w:t>
      </w:r>
      <w:r>
        <w:rPr>
          <w:color w:val="auto"/>
          <w:spacing w:val="20"/>
          <w:sz w:val="24"/>
          <w:highlight w:val="none"/>
        </w:rPr>
        <w:t xml:space="preserve">              日 期：</w:t>
      </w:r>
      <w:r>
        <w:rPr>
          <w:color w:val="auto"/>
          <w:spacing w:val="20"/>
          <w:sz w:val="24"/>
          <w:highlight w:val="none"/>
          <w:u w:val="single"/>
        </w:rPr>
        <w:t xml:space="preserve">         </w:t>
      </w:r>
    </w:p>
    <w:p w14:paraId="019C6300">
      <w:pPr>
        <w:shd w:val="clear" w:color="auto" w:fill="auto"/>
        <w:snapToGrid w:val="0"/>
        <w:spacing w:before="50" w:after="159" w:afterLines="50"/>
        <w:ind w:firstLine="420" w:firstLineChars="200"/>
        <w:jc w:val="left"/>
        <w:rPr>
          <w:color w:val="auto"/>
          <w:szCs w:val="21"/>
          <w:highlight w:val="none"/>
        </w:rPr>
      </w:pPr>
    </w:p>
    <w:p w14:paraId="2D821480">
      <w:pPr>
        <w:shd w:val="clear" w:color="auto" w:fill="auto"/>
        <w:snapToGrid w:val="0"/>
        <w:spacing w:before="50" w:after="159" w:afterLines="50"/>
        <w:ind w:firstLine="420" w:firstLineChars="200"/>
        <w:jc w:val="left"/>
        <w:rPr>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.本竞争性磋商文件要求提供的其他资料和需要说明的问题；</w:t>
      </w:r>
    </w:p>
    <w:p w14:paraId="07E2708F">
      <w:pPr>
        <w:spacing w:line="420" w:lineRule="exact"/>
        <w:ind w:firstLine="527" w:firstLineChars="250"/>
        <w:rPr>
          <w:color w:val="auto"/>
          <w:szCs w:val="21"/>
          <w:highlight w:val="none"/>
        </w:rPr>
      </w:pPr>
      <w:r>
        <w:rPr>
          <w:b/>
          <w:color w:val="auto"/>
          <w:szCs w:val="21"/>
          <w:highlight w:val="none"/>
        </w:rPr>
        <w:t>（以上附件可根据竞争性磋商文件要求必须提供的资料排序，其余资料酌情提供，</w:t>
      </w:r>
      <w:r>
        <w:rPr>
          <w:b/>
          <w:bCs/>
          <w:color w:val="auto"/>
          <w:kern w:val="0"/>
          <w:szCs w:val="21"/>
          <w:highlight w:val="none"/>
        </w:rPr>
        <w:t>且证明材料均需加盖单位公章，否则不予以作为评分依据</w:t>
      </w:r>
      <w:r>
        <w:rPr>
          <w:b/>
          <w:color w:val="auto"/>
          <w:szCs w:val="21"/>
          <w:highlight w:val="none"/>
        </w:rPr>
        <w:t>）</w:t>
      </w:r>
    </w:p>
    <w:p w14:paraId="3A32F5D8">
      <w:pPr>
        <w:spacing w:line="360" w:lineRule="auto"/>
        <w:rPr>
          <w:color w:val="auto"/>
          <w:szCs w:val="21"/>
          <w:highlight w:val="none"/>
        </w:rPr>
      </w:pPr>
    </w:p>
    <w:p w14:paraId="16CA4000">
      <w:pPr>
        <w:widowControl/>
        <w:spacing w:line="500" w:lineRule="exact"/>
        <w:ind w:firstLine="420" w:firstLineChars="200"/>
        <w:jc w:val="left"/>
        <w:rPr>
          <w:color w:val="auto"/>
          <w:kern w:val="0"/>
          <w:szCs w:val="21"/>
          <w:highlight w:val="none"/>
        </w:rPr>
      </w:pPr>
      <w:r>
        <w:rPr>
          <w:color w:val="auto"/>
          <w:kern w:val="0"/>
          <w:szCs w:val="21"/>
          <w:highlight w:val="none"/>
        </w:rPr>
        <w:br w:type="page"/>
      </w:r>
    </w:p>
    <w:p w14:paraId="343ABF69">
      <w:pPr>
        <w:spacing w:line="500" w:lineRule="exact"/>
        <w:ind w:firstLine="420" w:firstLineChars="200"/>
        <w:jc w:val="left"/>
        <w:rPr>
          <w:color w:val="auto"/>
          <w:szCs w:val="21"/>
          <w:highlight w:val="none"/>
        </w:rPr>
      </w:pPr>
    </w:p>
    <w:p w14:paraId="40DEC058">
      <w:pPr>
        <w:autoSpaceDE w:val="0"/>
        <w:autoSpaceDN w:val="0"/>
        <w:adjustRightInd w:val="0"/>
        <w:snapToGrid w:val="0"/>
        <w:spacing w:line="300" w:lineRule="auto"/>
        <w:ind w:firstLine="2864" w:firstLineChars="895"/>
        <w:rPr>
          <w:color w:val="auto"/>
          <w:kern w:val="0"/>
          <w:sz w:val="32"/>
          <w:szCs w:val="32"/>
          <w:highlight w:val="none"/>
        </w:rPr>
      </w:pPr>
    </w:p>
    <w:p w14:paraId="6608E4F8">
      <w:pPr>
        <w:autoSpaceDE w:val="0"/>
        <w:autoSpaceDN w:val="0"/>
        <w:adjustRightInd w:val="0"/>
        <w:snapToGrid w:val="0"/>
        <w:spacing w:line="300" w:lineRule="auto"/>
        <w:ind w:firstLine="2864" w:firstLineChars="895"/>
        <w:rPr>
          <w:color w:val="auto"/>
          <w:kern w:val="0"/>
          <w:sz w:val="32"/>
          <w:szCs w:val="32"/>
          <w:highlight w:val="none"/>
        </w:rPr>
      </w:pPr>
    </w:p>
    <w:p w14:paraId="178D8207">
      <w:pPr>
        <w:autoSpaceDE w:val="0"/>
        <w:autoSpaceDN w:val="0"/>
        <w:adjustRightInd w:val="0"/>
        <w:snapToGrid w:val="0"/>
        <w:spacing w:line="300" w:lineRule="auto"/>
        <w:ind w:firstLine="2864" w:firstLineChars="895"/>
        <w:rPr>
          <w:color w:val="auto"/>
          <w:kern w:val="0"/>
          <w:sz w:val="32"/>
          <w:szCs w:val="32"/>
          <w:highlight w:val="none"/>
        </w:rPr>
      </w:pPr>
    </w:p>
    <w:p w14:paraId="2FDB8CE8">
      <w:pPr>
        <w:autoSpaceDE w:val="0"/>
        <w:autoSpaceDN w:val="0"/>
        <w:adjustRightInd w:val="0"/>
        <w:snapToGrid w:val="0"/>
        <w:spacing w:line="300" w:lineRule="auto"/>
        <w:ind w:firstLine="2864" w:firstLineChars="895"/>
        <w:rPr>
          <w:color w:val="auto"/>
          <w:kern w:val="0"/>
          <w:sz w:val="32"/>
          <w:szCs w:val="32"/>
          <w:highlight w:val="none"/>
        </w:rPr>
      </w:pPr>
    </w:p>
    <w:p w14:paraId="1D635A66">
      <w:pPr>
        <w:autoSpaceDE w:val="0"/>
        <w:autoSpaceDN w:val="0"/>
        <w:adjustRightInd w:val="0"/>
        <w:snapToGrid w:val="0"/>
        <w:spacing w:line="300" w:lineRule="auto"/>
        <w:ind w:firstLine="2864" w:firstLineChars="895"/>
        <w:rPr>
          <w:color w:val="auto"/>
          <w:kern w:val="0"/>
          <w:sz w:val="32"/>
          <w:szCs w:val="32"/>
          <w:highlight w:val="none"/>
        </w:rPr>
      </w:pPr>
    </w:p>
    <w:p w14:paraId="16D15288">
      <w:pPr>
        <w:autoSpaceDE w:val="0"/>
        <w:autoSpaceDN w:val="0"/>
        <w:adjustRightInd w:val="0"/>
        <w:snapToGrid w:val="0"/>
        <w:spacing w:line="300" w:lineRule="auto"/>
        <w:ind w:firstLine="2864" w:firstLineChars="895"/>
        <w:rPr>
          <w:color w:val="auto"/>
          <w:kern w:val="0"/>
          <w:sz w:val="32"/>
          <w:szCs w:val="32"/>
          <w:highlight w:val="none"/>
        </w:rPr>
      </w:pPr>
    </w:p>
    <w:p w14:paraId="04A7EF87">
      <w:pPr>
        <w:autoSpaceDE w:val="0"/>
        <w:autoSpaceDN w:val="0"/>
        <w:adjustRightInd w:val="0"/>
        <w:snapToGrid w:val="0"/>
        <w:spacing w:line="300" w:lineRule="auto"/>
        <w:ind w:firstLine="2864" w:firstLineChars="895"/>
        <w:rPr>
          <w:color w:val="auto"/>
          <w:kern w:val="0"/>
          <w:sz w:val="32"/>
          <w:szCs w:val="32"/>
          <w:highlight w:val="none"/>
        </w:rPr>
      </w:pPr>
    </w:p>
    <w:p w14:paraId="70A0F209">
      <w:pPr>
        <w:autoSpaceDE w:val="0"/>
        <w:autoSpaceDN w:val="0"/>
        <w:adjustRightInd w:val="0"/>
        <w:snapToGrid w:val="0"/>
        <w:spacing w:line="300" w:lineRule="auto"/>
        <w:ind w:firstLine="2864" w:firstLineChars="895"/>
        <w:rPr>
          <w:color w:val="auto"/>
          <w:kern w:val="0"/>
          <w:sz w:val="32"/>
          <w:szCs w:val="32"/>
          <w:highlight w:val="none"/>
        </w:rPr>
      </w:pPr>
    </w:p>
    <w:p w14:paraId="4D8F6C69">
      <w:pPr>
        <w:autoSpaceDE w:val="0"/>
        <w:autoSpaceDN w:val="0"/>
        <w:adjustRightInd w:val="0"/>
        <w:snapToGrid w:val="0"/>
        <w:spacing w:line="300" w:lineRule="auto"/>
        <w:ind w:firstLine="2864" w:firstLineChars="895"/>
        <w:rPr>
          <w:color w:val="auto"/>
          <w:kern w:val="0"/>
          <w:sz w:val="32"/>
          <w:szCs w:val="32"/>
          <w:highlight w:val="none"/>
        </w:rPr>
      </w:pPr>
    </w:p>
    <w:p w14:paraId="27256497">
      <w:pPr>
        <w:autoSpaceDE w:val="0"/>
        <w:autoSpaceDN w:val="0"/>
        <w:adjustRightInd w:val="0"/>
        <w:snapToGrid w:val="0"/>
        <w:spacing w:line="300" w:lineRule="auto"/>
        <w:ind w:firstLine="2864" w:firstLineChars="895"/>
        <w:rPr>
          <w:color w:val="auto"/>
          <w:kern w:val="0"/>
          <w:sz w:val="32"/>
          <w:szCs w:val="32"/>
          <w:highlight w:val="none"/>
        </w:rPr>
      </w:pPr>
    </w:p>
    <w:p w14:paraId="13899459">
      <w:pPr>
        <w:autoSpaceDE w:val="0"/>
        <w:autoSpaceDN w:val="0"/>
        <w:adjustRightInd w:val="0"/>
        <w:snapToGrid w:val="0"/>
        <w:spacing w:line="300" w:lineRule="auto"/>
        <w:ind w:firstLine="2864" w:firstLineChars="895"/>
        <w:rPr>
          <w:color w:val="auto"/>
          <w:kern w:val="0"/>
          <w:sz w:val="32"/>
          <w:szCs w:val="32"/>
          <w:highlight w:val="none"/>
        </w:rPr>
      </w:pPr>
    </w:p>
    <w:p w14:paraId="13A6720F">
      <w:pPr>
        <w:pStyle w:val="2"/>
        <w:numPr>
          <w:ilvl w:val="0"/>
          <w:numId w:val="5"/>
        </w:numPr>
        <w:rPr>
          <w:color w:val="auto"/>
          <w:highlight w:val="none"/>
        </w:rPr>
      </w:pPr>
      <w:bookmarkStart w:id="22" w:name="_Toc77937046"/>
      <w:bookmarkStart w:id="23" w:name="_Toc24399"/>
      <w:bookmarkStart w:id="24" w:name="_Toc7574"/>
      <w:r>
        <w:rPr>
          <w:color w:val="auto"/>
          <w:highlight w:val="none"/>
        </w:rPr>
        <w:t xml:space="preserve"> 合同主要条款</w:t>
      </w:r>
      <w:bookmarkEnd w:id="22"/>
      <w:bookmarkEnd w:id="23"/>
      <w:bookmarkEnd w:id="24"/>
    </w:p>
    <w:p w14:paraId="1764A3E4">
      <w:pPr>
        <w:pStyle w:val="2"/>
        <w:numPr>
          <w:ilvl w:val="0"/>
          <w:numId w:val="0"/>
        </w:numPr>
        <w:jc w:val="center"/>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rPr>
        <w:t>（合同以最终签订版本为准）</w:t>
      </w:r>
    </w:p>
    <w:sectPr>
      <w:footerReference r:id="rId6" w:type="first"/>
      <w:footerReference r:id="rId5" w:type="default"/>
      <w:pgSz w:w="11850" w:h="16783"/>
      <w:pgMar w:top="1247" w:right="1247" w:bottom="1247" w:left="1247" w:header="851" w:footer="992" w:gutter="0"/>
      <w:pgNumType w:fmt="decimal"/>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Futura Bk">
    <w:altName w:val="Courier New"/>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DA44E">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4B74B8">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Qt6OIBAADMAwAADgAAAGRycy9lMm9Eb2MueG1srVPNjtMwEL4j8Q6W&#10;7zTZaoW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TVnTli68PP3b+cfv84/v7Jl&#10;kqcPWFHVfaC6OLz2Ay3NHEcKJtZDCzb9iQ+jPIl7uoirhshkOrRarlYlpSTlZofwi4fjATC+Ud6y&#10;ZNQc6PayqOL4DuNYOpekbs7faWPyDRr3V4Awx4jKKzCdTkzGiZMVh90w0dv55kTs6FFQ187DF856&#10;WomaO3oBnJm3jhRP2zMbMBu72RBO0sGaR85G8zaOW3YIoPdd3rs0IoZXh0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d1Qt6OIBAADMAwAADgAA&#10;AAAAAAABACAAAAAeAQAAZHJzL2Uyb0RvYy54bWxQSwUGAAAAAAYABgBZAQAAcgUAAAAA&#10;">
              <v:fill on="f" focussize="0,0"/>
              <v:stroke on="f"/>
              <v:imagedata o:title=""/>
              <o:lock v:ext="edit" aspectratio="f"/>
              <v:textbox inset="0mm,0mm,0mm,0mm" style="mso-fit-shape-to-text:t;">
                <w:txbxContent>
                  <w:p w14:paraId="2E4B74B8">
                    <w:pPr>
                      <w:pStyle w:val="2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4D0E8F">
                          <w:pPr>
                            <w:pStyle w:val="27"/>
                            <w:jc w:val="center"/>
                          </w:pPr>
                        </w:p>
                        <w:p w14:paraId="0F327389"/>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394D0E8F">
                    <w:pPr>
                      <w:pStyle w:val="27"/>
                      <w:jc w:val="center"/>
                    </w:pPr>
                  </w:p>
                  <w:p w14:paraId="0F327389"/>
                </w:txbxContent>
              </v:textbox>
            </v:shape>
          </w:pict>
        </mc:Fallback>
      </mc:AlternateContent>
    </w:r>
  </w:p>
  <w:p w14:paraId="43A4C4B8">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7705">
    <w:pPr>
      <w:pStyle w:val="27"/>
      <w:tabs>
        <w:tab w:val="clear" w:pos="4153"/>
      </w:tabs>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D19F11">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6h4yB4QEAAMwDAAAOAAAA&#10;AAAAAAEAIAAAAB4BAABkcnMvZTJvRG9jLnhtbFBLBQYAAAAABgAGAFkBAABxBQAAAAA=&#10;">
              <v:fill on="f" focussize="0,0"/>
              <v:stroke on="f"/>
              <v:imagedata o:title=""/>
              <o:lock v:ext="edit" aspectratio="f"/>
              <v:textbox inset="0mm,0mm,0mm,0mm" style="mso-fit-shape-to-text:t;">
                <w:txbxContent>
                  <w:p w14:paraId="01D19F11">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B87C9">
    <w:pPr>
      <w:pStyle w:val="2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FB99C">
                          <w:pPr>
                            <w:pStyle w:val="27"/>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Jm0t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jEmbS3gEAAL4DAAAOAAAAAAAA&#10;AAEAIAAAAB4BAABkcnMvZTJvRG9jLnhtbFBLBQYAAAAABgAGAFkBAABuBQAAAAA=&#10;">
              <v:fill on="f" focussize="0,0"/>
              <v:stroke on="f"/>
              <v:imagedata o:title=""/>
              <o:lock v:ext="edit" aspectratio="f"/>
              <v:textbox inset="0mm,0mm,0mm,0mm" style="mso-fit-shape-to-text:t;">
                <w:txbxContent>
                  <w:p w14:paraId="3B2FB99C">
                    <w:pPr>
                      <w:pStyle w:val="27"/>
                    </w:pPr>
                    <w:r>
                      <w:fldChar w:fldCharType="begin"/>
                    </w:r>
                    <w:r>
                      <w:instrText xml:space="preserve"> PAGE  \* MERGEFORMAT </w:instrText>
                    </w:r>
                    <w:r>
                      <w:fldChar w:fldCharType="separate"/>
                    </w:r>
                    <w:r>
                      <w:t>0</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044ABC">
                          <w:pPr>
                            <w:pStyle w:val="27"/>
                            <w:jc w:val="center"/>
                          </w:pPr>
                        </w:p>
                        <w:p w14:paraId="0824D0C6"/>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5D044ABC">
                    <w:pPr>
                      <w:pStyle w:val="27"/>
                      <w:jc w:val="center"/>
                    </w:pPr>
                  </w:p>
                  <w:p w14:paraId="0824D0C6"/>
                </w:txbxContent>
              </v:textbox>
            </v:shape>
          </w:pict>
        </mc:Fallback>
      </mc:AlternateContent>
    </w:r>
  </w:p>
  <w:p w14:paraId="49B141D5">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54207">
    <w:pPr>
      <w:pStyle w:val="27"/>
      <w:tabs>
        <w:tab w:val="clear" w:pos="4153"/>
      </w:tabs>
      <w:ind w:right="360"/>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C74069">
                          <w:pPr>
                            <w:pStyle w:val="27"/>
                          </w:pPr>
                          <w:r>
                            <w:fldChar w:fldCharType="begin"/>
                          </w:r>
                          <w:r>
                            <w:instrText xml:space="preserve"> PAGE  \* MERGEFORMAT </w:instrText>
                          </w:r>
                          <w:r>
                            <w:fldChar w:fldCharType="separate"/>
                          </w:r>
                          <w:r>
                            <w:t>0</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Qy9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X/J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skMvdAQAAvgMAAA4AAAAAAAAA&#10;AQAgAAAAHgEAAGRycy9lMm9Eb2MueG1sUEsFBgAAAAAGAAYAWQEAAG0FAAAAAA==&#10;">
              <v:fill on="f" focussize="0,0"/>
              <v:stroke on="f"/>
              <v:imagedata o:title=""/>
              <o:lock v:ext="edit" aspectratio="f"/>
              <v:textbox inset="0mm,0mm,0mm,0mm" style="mso-fit-shape-to-text:t;">
                <w:txbxContent>
                  <w:p w14:paraId="31C74069">
                    <w:pPr>
                      <w:pStyle w:val="27"/>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23548"/>
    <w:multiLevelType w:val="singleLevel"/>
    <w:tmpl w:val="96423548"/>
    <w:lvl w:ilvl="0" w:tentative="0">
      <w:start w:val="1"/>
      <w:numFmt w:val="decimal"/>
      <w:suff w:val="nothing"/>
      <w:lvlText w:val="%1、"/>
      <w:lvlJc w:val="left"/>
    </w:lvl>
  </w:abstractNum>
  <w:abstractNum w:abstractNumId="1">
    <w:nsid w:val="D0C62998"/>
    <w:multiLevelType w:val="singleLevel"/>
    <w:tmpl w:val="D0C62998"/>
    <w:lvl w:ilvl="0" w:tentative="0">
      <w:start w:val="5"/>
      <w:numFmt w:val="chineseCounting"/>
      <w:suff w:val="nothing"/>
      <w:lvlText w:val="%1、"/>
      <w:lvlJc w:val="left"/>
      <w:rPr>
        <w:rFonts w:hint="eastAsia"/>
      </w:rPr>
    </w:lvl>
  </w:abstractNum>
  <w:abstractNum w:abstractNumId="2">
    <w:nsid w:val="012A45ED"/>
    <w:multiLevelType w:val="multilevel"/>
    <w:tmpl w:val="012A45ED"/>
    <w:lvl w:ilvl="0" w:tentative="0">
      <w:start w:val="1"/>
      <w:numFmt w:val="bullet"/>
      <w:pStyle w:val="21"/>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5"/>
      <w:lvlText w:val=""/>
      <w:lvlJc w:val="left"/>
      <w:pPr>
        <w:tabs>
          <w:tab w:val="left" w:pos="2880"/>
        </w:tabs>
        <w:ind w:left="2880" w:hanging="360"/>
      </w:pPr>
      <w:rPr>
        <w:rFonts w:hint="default" w:ascii="Wingdings" w:hAnsi="Wingdings"/>
        <w:sz w:val="20"/>
      </w:rPr>
    </w:lvl>
    <w:lvl w:ilvl="4" w:tentative="0">
      <w:start w:val="1"/>
      <w:numFmt w:val="bullet"/>
      <w:pStyle w:val="6"/>
      <w:lvlText w:val=""/>
      <w:lvlJc w:val="left"/>
      <w:pPr>
        <w:tabs>
          <w:tab w:val="left" w:pos="3600"/>
        </w:tabs>
        <w:ind w:left="3600" w:hanging="360"/>
      </w:pPr>
      <w:rPr>
        <w:rFonts w:hint="default" w:ascii="Wingdings" w:hAnsi="Wingdings"/>
        <w:sz w:val="20"/>
      </w:rPr>
    </w:lvl>
    <w:lvl w:ilvl="5" w:tentative="0">
      <w:start w:val="1"/>
      <w:numFmt w:val="bullet"/>
      <w:pStyle w:val="8"/>
      <w:lvlText w:val=""/>
      <w:lvlJc w:val="left"/>
      <w:pPr>
        <w:tabs>
          <w:tab w:val="left" w:pos="4320"/>
        </w:tabs>
        <w:ind w:left="4320" w:hanging="360"/>
      </w:pPr>
      <w:rPr>
        <w:rFonts w:hint="default" w:ascii="Wingdings" w:hAnsi="Wingdings"/>
        <w:sz w:val="20"/>
      </w:rPr>
    </w:lvl>
    <w:lvl w:ilvl="6" w:tentative="0">
      <w:start w:val="1"/>
      <w:numFmt w:val="bullet"/>
      <w:pStyle w:val="9"/>
      <w:lvlText w:val=""/>
      <w:lvlJc w:val="left"/>
      <w:pPr>
        <w:tabs>
          <w:tab w:val="left" w:pos="5040"/>
        </w:tabs>
        <w:ind w:left="5040" w:hanging="360"/>
      </w:pPr>
      <w:rPr>
        <w:rFonts w:hint="default" w:ascii="Wingdings" w:hAnsi="Wingdings"/>
        <w:sz w:val="20"/>
      </w:rPr>
    </w:lvl>
    <w:lvl w:ilvl="7" w:tentative="0">
      <w:start w:val="1"/>
      <w:numFmt w:val="bullet"/>
      <w:pStyle w:val="10"/>
      <w:lvlText w:val=""/>
      <w:lvlJc w:val="left"/>
      <w:pPr>
        <w:tabs>
          <w:tab w:val="left" w:pos="5760"/>
        </w:tabs>
        <w:ind w:left="5760" w:hanging="360"/>
      </w:pPr>
      <w:rPr>
        <w:rFonts w:hint="default" w:ascii="Wingdings" w:hAnsi="Wingdings"/>
        <w:sz w:val="20"/>
      </w:rPr>
    </w:lvl>
    <w:lvl w:ilvl="8" w:tentative="0">
      <w:start w:val="1"/>
      <w:numFmt w:val="bullet"/>
      <w:pStyle w:val="11"/>
      <w:lvlText w:val=""/>
      <w:lvlJc w:val="left"/>
      <w:pPr>
        <w:tabs>
          <w:tab w:val="left" w:pos="6480"/>
        </w:tabs>
        <w:ind w:left="6480" w:hanging="360"/>
      </w:pPr>
      <w:rPr>
        <w:rFonts w:hint="default" w:ascii="Wingdings" w:hAnsi="Wingdings"/>
        <w:sz w:val="20"/>
      </w:rPr>
    </w:lvl>
  </w:abstractNum>
  <w:abstractNum w:abstractNumId="3">
    <w:nsid w:val="2546BE65"/>
    <w:multiLevelType w:val="singleLevel"/>
    <w:tmpl w:val="2546BE65"/>
    <w:lvl w:ilvl="0" w:tentative="0">
      <w:start w:val="2"/>
      <w:numFmt w:val="decimal"/>
      <w:suff w:val="nothing"/>
      <w:lvlText w:val="（%1）"/>
      <w:lvlJc w:val="left"/>
    </w:lvl>
  </w:abstractNum>
  <w:abstractNum w:abstractNumId="4">
    <w:nsid w:val="2F45B2B0"/>
    <w:multiLevelType w:val="singleLevel"/>
    <w:tmpl w:val="2F45B2B0"/>
    <w:lvl w:ilvl="0" w:tentative="0">
      <w:start w:val="6"/>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NTY4MWY4MjlmYjU0YTY5NTAzMzlhN2MxMmM1NGMifQ=="/>
  </w:docVars>
  <w:rsids>
    <w:rsidRoot w:val="00172A27"/>
    <w:rsid w:val="00001E9A"/>
    <w:rsid w:val="00002A76"/>
    <w:rsid w:val="000037B1"/>
    <w:rsid w:val="000047CD"/>
    <w:rsid w:val="000051EF"/>
    <w:rsid w:val="000056F7"/>
    <w:rsid w:val="000123E9"/>
    <w:rsid w:val="00012674"/>
    <w:rsid w:val="00013F38"/>
    <w:rsid w:val="000144B9"/>
    <w:rsid w:val="000172C0"/>
    <w:rsid w:val="00027B03"/>
    <w:rsid w:val="00030680"/>
    <w:rsid w:val="000306CD"/>
    <w:rsid w:val="00030F35"/>
    <w:rsid w:val="00031405"/>
    <w:rsid w:val="000330B3"/>
    <w:rsid w:val="00037602"/>
    <w:rsid w:val="00040380"/>
    <w:rsid w:val="00041173"/>
    <w:rsid w:val="00041307"/>
    <w:rsid w:val="000442F9"/>
    <w:rsid w:val="00044D6B"/>
    <w:rsid w:val="000455F6"/>
    <w:rsid w:val="00047EA5"/>
    <w:rsid w:val="00050945"/>
    <w:rsid w:val="0005151D"/>
    <w:rsid w:val="00051FD7"/>
    <w:rsid w:val="000539B8"/>
    <w:rsid w:val="0005404A"/>
    <w:rsid w:val="0005489C"/>
    <w:rsid w:val="0005699C"/>
    <w:rsid w:val="000601A2"/>
    <w:rsid w:val="000612F5"/>
    <w:rsid w:val="00061A5D"/>
    <w:rsid w:val="0006394B"/>
    <w:rsid w:val="00064AC1"/>
    <w:rsid w:val="00065EEC"/>
    <w:rsid w:val="00066C9C"/>
    <w:rsid w:val="00066FB9"/>
    <w:rsid w:val="00067E2F"/>
    <w:rsid w:val="0007024F"/>
    <w:rsid w:val="00070AFA"/>
    <w:rsid w:val="00073C8A"/>
    <w:rsid w:val="00073E34"/>
    <w:rsid w:val="000742E5"/>
    <w:rsid w:val="00074F2D"/>
    <w:rsid w:val="0007524D"/>
    <w:rsid w:val="0007583C"/>
    <w:rsid w:val="00076F11"/>
    <w:rsid w:val="0007764E"/>
    <w:rsid w:val="00080488"/>
    <w:rsid w:val="0008075B"/>
    <w:rsid w:val="000808C3"/>
    <w:rsid w:val="000815F8"/>
    <w:rsid w:val="00082C28"/>
    <w:rsid w:val="000831D7"/>
    <w:rsid w:val="0008392F"/>
    <w:rsid w:val="00092F58"/>
    <w:rsid w:val="000933C5"/>
    <w:rsid w:val="00093978"/>
    <w:rsid w:val="0009425A"/>
    <w:rsid w:val="00095197"/>
    <w:rsid w:val="00096CAE"/>
    <w:rsid w:val="000A171F"/>
    <w:rsid w:val="000A771E"/>
    <w:rsid w:val="000B072F"/>
    <w:rsid w:val="000B1DB7"/>
    <w:rsid w:val="000B3497"/>
    <w:rsid w:val="000B7339"/>
    <w:rsid w:val="000B7A16"/>
    <w:rsid w:val="000C1396"/>
    <w:rsid w:val="000C1903"/>
    <w:rsid w:val="000C5334"/>
    <w:rsid w:val="000C57DF"/>
    <w:rsid w:val="000C5C64"/>
    <w:rsid w:val="000D1C14"/>
    <w:rsid w:val="000D29AA"/>
    <w:rsid w:val="000D2DBF"/>
    <w:rsid w:val="000D36C9"/>
    <w:rsid w:val="000D3C56"/>
    <w:rsid w:val="000D3F1B"/>
    <w:rsid w:val="000D67B9"/>
    <w:rsid w:val="000D776F"/>
    <w:rsid w:val="000E0375"/>
    <w:rsid w:val="000E1F0C"/>
    <w:rsid w:val="000E5128"/>
    <w:rsid w:val="000E549C"/>
    <w:rsid w:val="000E6D11"/>
    <w:rsid w:val="000F0241"/>
    <w:rsid w:val="000F0D05"/>
    <w:rsid w:val="000F1C2B"/>
    <w:rsid w:val="000F2417"/>
    <w:rsid w:val="000F2CF6"/>
    <w:rsid w:val="000F2EF6"/>
    <w:rsid w:val="000F37CF"/>
    <w:rsid w:val="000F3E7F"/>
    <w:rsid w:val="000F7B3F"/>
    <w:rsid w:val="001002B1"/>
    <w:rsid w:val="00100912"/>
    <w:rsid w:val="00100D51"/>
    <w:rsid w:val="00100F6C"/>
    <w:rsid w:val="001026FF"/>
    <w:rsid w:val="00102C75"/>
    <w:rsid w:val="00103F70"/>
    <w:rsid w:val="00104D7B"/>
    <w:rsid w:val="00106A69"/>
    <w:rsid w:val="00106BDF"/>
    <w:rsid w:val="00110DE5"/>
    <w:rsid w:val="0011105A"/>
    <w:rsid w:val="001116E6"/>
    <w:rsid w:val="00112D3A"/>
    <w:rsid w:val="00113D3B"/>
    <w:rsid w:val="00114EDB"/>
    <w:rsid w:val="0011775A"/>
    <w:rsid w:val="00120BE3"/>
    <w:rsid w:val="001222EC"/>
    <w:rsid w:val="001240C9"/>
    <w:rsid w:val="00125F47"/>
    <w:rsid w:val="00130D46"/>
    <w:rsid w:val="00132AD9"/>
    <w:rsid w:val="001332DC"/>
    <w:rsid w:val="00133B08"/>
    <w:rsid w:val="00134059"/>
    <w:rsid w:val="001357CB"/>
    <w:rsid w:val="00136884"/>
    <w:rsid w:val="00137536"/>
    <w:rsid w:val="0013786B"/>
    <w:rsid w:val="00137E54"/>
    <w:rsid w:val="00137FDC"/>
    <w:rsid w:val="00141780"/>
    <w:rsid w:val="00143FD0"/>
    <w:rsid w:val="001459D5"/>
    <w:rsid w:val="00145C80"/>
    <w:rsid w:val="00145ED4"/>
    <w:rsid w:val="00146917"/>
    <w:rsid w:val="00146F23"/>
    <w:rsid w:val="0014709A"/>
    <w:rsid w:val="00147CD6"/>
    <w:rsid w:val="00147D5A"/>
    <w:rsid w:val="0015544B"/>
    <w:rsid w:val="001564C8"/>
    <w:rsid w:val="00156B22"/>
    <w:rsid w:val="0016184F"/>
    <w:rsid w:val="001621B5"/>
    <w:rsid w:val="00162237"/>
    <w:rsid w:val="00162775"/>
    <w:rsid w:val="00163ED0"/>
    <w:rsid w:val="00164B90"/>
    <w:rsid w:val="00165293"/>
    <w:rsid w:val="00165DF5"/>
    <w:rsid w:val="0016616F"/>
    <w:rsid w:val="00166F97"/>
    <w:rsid w:val="001678E7"/>
    <w:rsid w:val="00167E2C"/>
    <w:rsid w:val="00170AC3"/>
    <w:rsid w:val="00170C67"/>
    <w:rsid w:val="00172A27"/>
    <w:rsid w:val="001731C0"/>
    <w:rsid w:val="001749C9"/>
    <w:rsid w:val="00174C77"/>
    <w:rsid w:val="00176042"/>
    <w:rsid w:val="0017643A"/>
    <w:rsid w:val="0017789E"/>
    <w:rsid w:val="00180E2E"/>
    <w:rsid w:val="00181A2F"/>
    <w:rsid w:val="001829EF"/>
    <w:rsid w:val="00183D79"/>
    <w:rsid w:val="0018501C"/>
    <w:rsid w:val="00185713"/>
    <w:rsid w:val="00185E17"/>
    <w:rsid w:val="00192B30"/>
    <w:rsid w:val="00193601"/>
    <w:rsid w:val="001952DB"/>
    <w:rsid w:val="00197ECF"/>
    <w:rsid w:val="001A20CB"/>
    <w:rsid w:val="001A34C1"/>
    <w:rsid w:val="001A44E3"/>
    <w:rsid w:val="001A6D2F"/>
    <w:rsid w:val="001A7BE2"/>
    <w:rsid w:val="001B07EB"/>
    <w:rsid w:val="001B285B"/>
    <w:rsid w:val="001B3E9B"/>
    <w:rsid w:val="001B476A"/>
    <w:rsid w:val="001B5C64"/>
    <w:rsid w:val="001B6783"/>
    <w:rsid w:val="001B7AC7"/>
    <w:rsid w:val="001C0C6E"/>
    <w:rsid w:val="001C0DCE"/>
    <w:rsid w:val="001C336E"/>
    <w:rsid w:val="001C3FE8"/>
    <w:rsid w:val="001C4EFA"/>
    <w:rsid w:val="001C713C"/>
    <w:rsid w:val="001C755A"/>
    <w:rsid w:val="001C7CD4"/>
    <w:rsid w:val="001D0E7F"/>
    <w:rsid w:val="001D1632"/>
    <w:rsid w:val="001D19B5"/>
    <w:rsid w:val="001D32F5"/>
    <w:rsid w:val="001D385A"/>
    <w:rsid w:val="001D3CB9"/>
    <w:rsid w:val="001D3F6E"/>
    <w:rsid w:val="001D58C9"/>
    <w:rsid w:val="001D674D"/>
    <w:rsid w:val="001D733C"/>
    <w:rsid w:val="001D7EA3"/>
    <w:rsid w:val="001E0C5E"/>
    <w:rsid w:val="001E1276"/>
    <w:rsid w:val="001E2B39"/>
    <w:rsid w:val="001E55A2"/>
    <w:rsid w:val="001F0043"/>
    <w:rsid w:val="001F1BDF"/>
    <w:rsid w:val="001F36E8"/>
    <w:rsid w:val="001F3D94"/>
    <w:rsid w:val="001F46B2"/>
    <w:rsid w:val="001F4970"/>
    <w:rsid w:val="001F64EC"/>
    <w:rsid w:val="001F6EFF"/>
    <w:rsid w:val="001F7226"/>
    <w:rsid w:val="001F77B7"/>
    <w:rsid w:val="00200B36"/>
    <w:rsid w:val="00202E8E"/>
    <w:rsid w:val="00203923"/>
    <w:rsid w:val="00206B1E"/>
    <w:rsid w:val="00207AF4"/>
    <w:rsid w:val="002109EF"/>
    <w:rsid w:val="00211ACE"/>
    <w:rsid w:val="0021280C"/>
    <w:rsid w:val="00212A06"/>
    <w:rsid w:val="00215FE0"/>
    <w:rsid w:val="00216759"/>
    <w:rsid w:val="0021691D"/>
    <w:rsid w:val="00216B44"/>
    <w:rsid w:val="00217F4E"/>
    <w:rsid w:val="00220010"/>
    <w:rsid w:val="00221670"/>
    <w:rsid w:val="002243CB"/>
    <w:rsid w:val="00226138"/>
    <w:rsid w:val="00227A0D"/>
    <w:rsid w:val="00230594"/>
    <w:rsid w:val="00230CF2"/>
    <w:rsid w:val="002336C1"/>
    <w:rsid w:val="00234457"/>
    <w:rsid w:val="00236484"/>
    <w:rsid w:val="0023660B"/>
    <w:rsid w:val="0024024B"/>
    <w:rsid w:val="00241340"/>
    <w:rsid w:val="00241AEF"/>
    <w:rsid w:val="00241DC4"/>
    <w:rsid w:val="00241E02"/>
    <w:rsid w:val="00245357"/>
    <w:rsid w:val="00246622"/>
    <w:rsid w:val="00246E35"/>
    <w:rsid w:val="00247205"/>
    <w:rsid w:val="00250654"/>
    <w:rsid w:val="002509FD"/>
    <w:rsid w:val="0025408E"/>
    <w:rsid w:val="00256736"/>
    <w:rsid w:val="00257A17"/>
    <w:rsid w:val="00257D84"/>
    <w:rsid w:val="00261C89"/>
    <w:rsid w:val="0026354E"/>
    <w:rsid w:val="00263E91"/>
    <w:rsid w:val="0026483E"/>
    <w:rsid w:val="002650D9"/>
    <w:rsid w:val="00267BED"/>
    <w:rsid w:val="00267DF4"/>
    <w:rsid w:val="00272D41"/>
    <w:rsid w:val="002737AD"/>
    <w:rsid w:val="00273C4B"/>
    <w:rsid w:val="00276A3E"/>
    <w:rsid w:val="002772AA"/>
    <w:rsid w:val="00280E62"/>
    <w:rsid w:val="00281737"/>
    <w:rsid w:val="00281782"/>
    <w:rsid w:val="00284144"/>
    <w:rsid w:val="00286A8C"/>
    <w:rsid w:val="00287B13"/>
    <w:rsid w:val="00290792"/>
    <w:rsid w:val="002909E4"/>
    <w:rsid w:val="00291035"/>
    <w:rsid w:val="002919B2"/>
    <w:rsid w:val="0029219A"/>
    <w:rsid w:val="002926E3"/>
    <w:rsid w:val="002931EF"/>
    <w:rsid w:val="00293713"/>
    <w:rsid w:val="00293E24"/>
    <w:rsid w:val="00294FB7"/>
    <w:rsid w:val="00295D54"/>
    <w:rsid w:val="00296BEA"/>
    <w:rsid w:val="00296C1E"/>
    <w:rsid w:val="00297607"/>
    <w:rsid w:val="002A036A"/>
    <w:rsid w:val="002A10EB"/>
    <w:rsid w:val="002A29DE"/>
    <w:rsid w:val="002A2A76"/>
    <w:rsid w:val="002A2E6A"/>
    <w:rsid w:val="002A419A"/>
    <w:rsid w:val="002A63BA"/>
    <w:rsid w:val="002A686D"/>
    <w:rsid w:val="002B0353"/>
    <w:rsid w:val="002B07B5"/>
    <w:rsid w:val="002B1E19"/>
    <w:rsid w:val="002B35D8"/>
    <w:rsid w:val="002B3F57"/>
    <w:rsid w:val="002B449B"/>
    <w:rsid w:val="002B4873"/>
    <w:rsid w:val="002B4947"/>
    <w:rsid w:val="002B4D64"/>
    <w:rsid w:val="002B5154"/>
    <w:rsid w:val="002B5995"/>
    <w:rsid w:val="002B5F57"/>
    <w:rsid w:val="002B6156"/>
    <w:rsid w:val="002B6419"/>
    <w:rsid w:val="002B6A39"/>
    <w:rsid w:val="002C0674"/>
    <w:rsid w:val="002C508B"/>
    <w:rsid w:val="002C74D7"/>
    <w:rsid w:val="002C7B1C"/>
    <w:rsid w:val="002D0B3B"/>
    <w:rsid w:val="002D10C6"/>
    <w:rsid w:val="002D566D"/>
    <w:rsid w:val="002D5BAE"/>
    <w:rsid w:val="002D6A0E"/>
    <w:rsid w:val="002D7F3D"/>
    <w:rsid w:val="002E0E06"/>
    <w:rsid w:val="002E1CDB"/>
    <w:rsid w:val="002E1CF2"/>
    <w:rsid w:val="002E24CF"/>
    <w:rsid w:val="002E25E0"/>
    <w:rsid w:val="002E5627"/>
    <w:rsid w:val="002E6405"/>
    <w:rsid w:val="002F064E"/>
    <w:rsid w:val="002F3406"/>
    <w:rsid w:val="002F3EAD"/>
    <w:rsid w:val="002F5B28"/>
    <w:rsid w:val="002F659C"/>
    <w:rsid w:val="0030034B"/>
    <w:rsid w:val="00300909"/>
    <w:rsid w:val="00302A70"/>
    <w:rsid w:val="00302AD4"/>
    <w:rsid w:val="00302EA4"/>
    <w:rsid w:val="00303812"/>
    <w:rsid w:val="00304FFB"/>
    <w:rsid w:val="00306B97"/>
    <w:rsid w:val="00307B31"/>
    <w:rsid w:val="0031048A"/>
    <w:rsid w:val="0031111E"/>
    <w:rsid w:val="00311809"/>
    <w:rsid w:val="00315652"/>
    <w:rsid w:val="00317528"/>
    <w:rsid w:val="00317B4E"/>
    <w:rsid w:val="00322D3E"/>
    <w:rsid w:val="00323682"/>
    <w:rsid w:val="00323DE4"/>
    <w:rsid w:val="00323EA2"/>
    <w:rsid w:val="00330B5D"/>
    <w:rsid w:val="0033101C"/>
    <w:rsid w:val="00332951"/>
    <w:rsid w:val="00333DD3"/>
    <w:rsid w:val="00334A55"/>
    <w:rsid w:val="00341753"/>
    <w:rsid w:val="00343CB6"/>
    <w:rsid w:val="003447EB"/>
    <w:rsid w:val="00344BEE"/>
    <w:rsid w:val="003450EA"/>
    <w:rsid w:val="00345217"/>
    <w:rsid w:val="00347C74"/>
    <w:rsid w:val="00350532"/>
    <w:rsid w:val="00350C5E"/>
    <w:rsid w:val="003515EF"/>
    <w:rsid w:val="00351A61"/>
    <w:rsid w:val="00351E6A"/>
    <w:rsid w:val="00353805"/>
    <w:rsid w:val="0035401C"/>
    <w:rsid w:val="00354C9D"/>
    <w:rsid w:val="0035548A"/>
    <w:rsid w:val="00356DB9"/>
    <w:rsid w:val="00357B48"/>
    <w:rsid w:val="003603B7"/>
    <w:rsid w:val="003616A0"/>
    <w:rsid w:val="00361F8E"/>
    <w:rsid w:val="0037002C"/>
    <w:rsid w:val="00370230"/>
    <w:rsid w:val="00370529"/>
    <w:rsid w:val="0037284D"/>
    <w:rsid w:val="00372CED"/>
    <w:rsid w:val="00372FC5"/>
    <w:rsid w:val="0037446F"/>
    <w:rsid w:val="003773DD"/>
    <w:rsid w:val="003820AB"/>
    <w:rsid w:val="00383505"/>
    <w:rsid w:val="00386F40"/>
    <w:rsid w:val="00387CA0"/>
    <w:rsid w:val="0039137B"/>
    <w:rsid w:val="00392703"/>
    <w:rsid w:val="00395EC0"/>
    <w:rsid w:val="0039618F"/>
    <w:rsid w:val="003A01B8"/>
    <w:rsid w:val="003A04CF"/>
    <w:rsid w:val="003A0636"/>
    <w:rsid w:val="003A1FA7"/>
    <w:rsid w:val="003A2DD9"/>
    <w:rsid w:val="003A37EE"/>
    <w:rsid w:val="003A3A75"/>
    <w:rsid w:val="003A5128"/>
    <w:rsid w:val="003A5E97"/>
    <w:rsid w:val="003A7B93"/>
    <w:rsid w:val="003B0BB7"/>
    <w:rsid w:val="003B1D37"/>
    <w:rsid w:val="003B256A"/>
    <w:rsid w:val="003B26C6"/>
    <w:rsid w:val="003B2904"/>
    <w:rsid w:val="003B2A76"/>
    <w:rsid w:val="003B4192"/>
    <w:rsid w:val="003B6421"/>
    <w:rsid w:val="003B7723"/>
    <w:rsid w:val="003B78CA"/>
    <w:rsid w:val="003B7EA5"/>
    <w:rsid w:val="003C2737"/>
    <w:rsid w:val="003C287A"/>
    <w:rsid w:val="003C2E74"/>
    <w:rsid w:val="003C37AA"/>
    <w:rsid w:val="003C4235"/>
    <w:rsid w:val="003C5A66"/>
    <w:rsid w:val="003C7071"/>
    <w:rsid w:val="003C7436"/>
    <w:rsid w:val="003D0F71"/>
    <w:rsid w:val="003D2181"/>
    <w:rsid w:val="003D2471"/>
    <w:rsid w:val="003D29E6"/>
    <w:rsid w:val="003D3437"/>
    <w:rsid w:val="003D4BD2"/>
    <w:rsid w:val="003D57F2"/>
    <w:rsid w:val="003D5AF7"/>
    <w:rsid w:val="003E00BA"/>
    <w:rsid w:val="003E1B55"/>
    <w:rsid w:val="003E2446"/>
    <w:rsid w:val="003E36CD"/>
    <w:rsid w:val="003E44DB"/>
    <w:rsid w:val="003E5031"/>
    <w:rsid w:val="003E7045"/>
    <w:rsid w:val="003F208E"/>
    <w:rsid w:val="003F4CF3"/>
    <w:rsid w:val="003F778F"/>
    <w:rsid w:val="0040224A"/>
    <w:rsid w:val="0040295C"/>
    <w:rsid w:val="00403375"/>
    <w:rsid w:val="00404BE7"/>
    <w:rsid w:val="00405207"/>
    <w:rsid w:val="0040609C"/>
    <w:rsid w:val="0040686E"/>
    <w:rsid w:val="004073C6"/>
    <w:rsid w:val="00410F48"/>
    <w:rsid w:val="00413D14"/>
    <w:rsid w:val="004143E0"/>
    <w:rsid w:val="004156ED"/>
    <w:rsid w:val="00416368"/>
    <w:rsid w:val="004174DE"/>
    <w:rsid w:val="0041756D"/>
    <w:rsid w:val="00417BF6"/>
    <w:rsid w:val="004222AC"/>
    <w:rsid w:val="004241B9"/>
    <w:rsid w:val="0042474C"/>
    <w:rsid w:val="00425B41"/>
    <w:rsid w:val="0042602D"/>
    <w:rsid w:val="004261AB"/>
    <w:rsid w:val="00427BB3"/>
    <w:rsid w:val="004315F6"/>
    <w:rsid w:val="00431C22"/>
    <w:rsid w:val="00431F20"/>
    <w:rsid w:val="00432C1F"/>
    <w:rsid w:val="00434DC6"/>
    <w:rsid w:val="004354A7"/>
    <w:rsid w:val="004355ED"/>
    <w:rsid w:val="0043580B"/>
    <w:rsid w:val="00435EDB"/>
    <w:rsid w:val="00437890"/>
    <w:rsid w:val="00437DC8"/>
    <w:rsid w:val="004415EA"/>
    <w:rsid w:val="00443EBD"/>
    <w:rsid w:val="004447BB"/>
    <w:rsid w:val="00450233"/>
    <w:rsid w:val="00451632"/>
    <w:rsid w:val="00451862"/>
    <w:rsid w:val="0045359D"/>
    <w:rsid w:val="00453819"/>
    <w:rsid w:val="004548D4"/>
    <w:rsid w:val="00454CBC"/>
    <w:rsid w:val="00456AE8"/>
    <w:rsid w:val="00461606"/>
    <w:rsid w:val="00461899"/>
    <w:rsid w:val="004619AA"/>
    <w:rsid w:val="00463B6D"/>
    <w:rsid w:val="0046489B"/>
    <w:rsid w:val="00465FB1"/>
    <w:rsid w:val="004716E7"/>
    <w:rsid w:val="00476378"/>
    <w:rsid w:val="00476810"/>
    <w:rsid w:val="00476855"/>
    <w:rsid w:val="00477476"/>
    <w:rsid w:val="004809CB"/>
    <w:rsid w:val="0048266B"/>
    <w:rsid w:val="00483C89"/>
    <w:rsid w:val="00484597"/>
    <w:rsid w:val="004847E6"/>
    <w:rsid w:val="004852CB"/>
    <w:rsid w:val="004874D7"/>
    <w:rsid w:val="00490872"/>
    <w:rsid w:val="00491814"/>
    <w:rsid w:val="00492FB5"/>
    <w:rsid w:val="004A0160"/>
    <w:rsid w:val="004A140B"/>
    <w:rsid w:val="004A5664"/>
    <w:rsid w:val="004A5E51"/>
    <w:rsid w:val="004A6DF7"/>
    <w:rsid w:val="004A7E20"/>
    <w:rsid w:val="004A7EC8"/>
    <w:rsid w:val="004B1F9F"/>
    <w:rsid w:val="004B57AE"/>
    <w:rsid w:val="004B73A3"/>
    <w:rsid w:val="004B7BAA"/>
    <w:rsid w:val="004C068A"/>
    <w:rsid w:val="004C07BE"/>
    <w:rsid w:val="004C1D30"/>
    <w:rsid w:val="004C2C92"/>
    <w:rsid w:val="004C2CC4"/>
    <w:rsid w:val="004C39B8"/>
    <w:rsid w:val="004C4AB5"/>
    <w:rsid w:val="004C4EEF"/>
    <w:rsid w:val="004C5999"/>
    <w:rsid w:val="004C7247"/>
    <w:rsid w:val="004D3CB8"/>
    <w:rsid w:val="004D4D75"/>
    <w:rsid w:val="004D6908"/>
    <w:rsid w:val="004E0BEE"/>
    <w:rsid w:val="004E2B30"/>
    <w:rsid w:val="004E519F"/>
    <w:rsid w:val="004E5483"/>
    <w:rsid w:val="004E62F2"/>
    <w:rsid w:val="004E6EBC"/>
    <w:rsid w:val="004E70CB"/>
    <w:rsid w:val="004E7807"/>
    <w:rsid w:val="004F13EF"/>
    <w:rsid w:val="004F1E14"/>
    <w:rsid w:val="004F26F9"/>
    <w:rsid w:val="004F478F"/>
    <w:rsid w:val="004F5680"/>
    <w:rsid w:val="004F5F05"/>
    <w:rsid w:val="004F7C19"/>
    <w:rsid w:val="00503B26"/>
    <w:rsid w:val="00503E3B"/>
    <w:rsid w:val="0050663B"/>
    <w:rsid w:val="00506C83"/>
    <w:rsid w:val="00507A9A"/>
    <w:rsid w:val="00507FC9"/>
    <w:rsid w:val="005109FD"/>
    <w:rsid w:val="00512326"/>
    <w:rsid w:val="0051474D"/>
    <w:rsid w:val="005148BF"/>
    <w:rsid w:val="00516E04"/>
    <w:rsid w:val="00516EF5"/>
    <w:rsid w:val="00517B77"/>
    <w:rsid w:val="005211AD"/>
    <w:rsid w:val="00521354"/>
    <w:rsid w:val="00521861"/>
    <w:rsid w:val="00523270"/>
    <w:rsid w:val="00523AE9"/>
    <w:rsid w:val="005244FD"/>
    <w:rsid w:val="00526415"/>
    <w:rsid w:val="00526F4F"/>
    <w:rsid w:val="005303CF"/>
    <w:rsid w:val="00530C39"/>
    <w:rsid w:val="00530C41"/>
    <w:rsid w:val="00531102"/>
    <w:rsid w:val="005320FC"/>
    <w:rsid w:val="00535A4A"/>
    <w:rsid w:val="00535EA9"/>
    <w:rsid w:val="005379CE"/>
    <w:rsid w:val="00540499"/>
    <w:rsid w:val="005411F7"/>
    <w:rsid w:val="00542B9E"/>
    <w:rsid w:val="0054322D"/>
    <w:rsid w:val="005446E7"/>
    <w:rsid w:val="00544DE2"/>
    <w:rsid w:val="00545122"/>
    <w:rsid w:val="00546558"/>
    <w:rsid w:val="00547FA0"/>
    <w:rsid w:val="00550E0A"/>
    <w:rsid w:val="00552A6B"/>
    <w:rsid w:val="00552E29"/>
    <w:rsid w:val="00552EB4"/>
    <w:rsid w:val="005541FB"/>
    <w:rsid w:val="0055473E"/>
    <w:rsid w:val="005560BE"/>
    <w:rsid w:val="005563CC"/>
    <w:rsid w:val="005622BC"/>
    <w:rsid w:val="005629E0"/>
    <w:rsid w:val="00562F45"/>
    <w:rsid w:val="00563478"/>
    <w:rsid w:val="00563874"/>
    <w:rsid w:val="00563AF6"/>
    <w:rsid w:val="0056401C"/>
    <w:rsid w:val="0056678F"/>
    <w:rsid w:val="0056706F"/>
    <w:rsid w:val="00572C76"/>
    <w:rsid w:val="00572CAA"/>
    <w:rsid w:val="00574B2D"/>
    <w:rsid w:val="00575ABF"/>
    <w:rsid w:val="00576FF5"/>
    <w:rsid w:val="00580322"/>
    <w:rsid w:val="0058045B"/>
    <w:rsid w:val="00582F6B"/>
    <w:rsid w:val="0058391E"/>
    <w:rsid w:val="0058575E"/>
    <w:rsid w:val="00586E63"/>
    <w:rsid w:val="0059271B"/>
    <w:rsid w:val="00594974"/>
    <w:rsid w:val="00596714"/>
    <w:rsid w:val="00596FB3"/>
    <w:rsid w:val="005A0884"/>
    <w:rsid w:val="005A25FE"/>
    <w:rsid w:val="005A26BE"/>
    <w:rsid w:val="005A2BFC"/>
    <w:rsid w:val="005A2DBF"/>
    <w:rsid w:val="005A31A7"/>
    <w:rsid w:val="005A3DEA"/>
    <w:rsid w:val="005A5AAA"/>
    <w:rsid w:val="005A5EAD"/>
    <w:rsid w:val="005A6D30"/>
    <w:rsid w:val="005B0651"/>
    <w:rsid w:val="005B1103"/>
    <w:rsid w:val="005B7352"/>
    <w:rsid w:val="005C25E1"/>
    <w:rsid w:val="005C2EB0"/>
    <w:rsid w:val="005C34D6"/>
    <w:rsid w:val="005C604E"/>
    <w:rsid w:val="005C6AF4"/>
    <w:rsid w:val="005C75A3"/>
    <w:rsid w:val="005C7E0B"/>
    <w:rsid w:val="005D0058"/>
    <w:rsid w:val="005D06E7"/>
    <w:rsid w:val="005D0CE8"/>
    <w:rsid w:val="005D17D4"/>
    <w:rsid w:val="005D260A"/>
    <w:rsid w:val="005D498E"/>
    <w:rsid w:val="005D505B"/>
    <w:rsid w:val="005D5772"/>
    <w:rsid w:val="005D60F0"/>
    <w:rsid w:val="005D71D3"/>
    <w:rsid w:val="005E0C3C"/>
    <w:rsid w:val="005E21F3"/>
    <w:rsid w:val="005E362D"/>
    <w:rsid w:val="005E5015"/>
    <w:rsid w:val="005E6399"/>
    <w:rsid w:val="005E7C87"/>
    <w:rsid w:val="005F04B0"/>
    <w:rsid w:val="005F1ADE"/>
    <w:rsid w:val="005F2B53"/>
    <w:rsid w:val="005F34F3"/>
    <w:rsid w:val="005F367F"/>
    <w:rsid w:val="005F3DCA"/>
    <w:rsid w:val="005F4A79"/>
    <w:rsid w:val="005F5B5C"/>
    <w:rsid w:val="005F7AD3"/>
    <w:rsid w:val="00601CAD"/>
    <w:rsid w:val="00602C67"/>
    <w:rsid w:val="006037E2"/>
    <w:rsid w:val="00605446"/>
    <w:rsid w:val="00605554"/>
    <w:rsid w:val="0060767E"/>
    <w:rsid w:val="00607A75"/>
    <w:rsid w:val="00610E38"/>
    <w:rsid w:val="00611690"/>
    <w:rsid w:val="006116E2"/>
    <w:rsid w:val="00611719"/>
    <w:rsid w:val="006117F4"/>
    <w:rsid w:val="006129BA"/>
    <w:rsid w:val="00617512"/>
    <w:rsid w:val="00620B9B"/>
    <w:rsid w:val="0062346F"/>
    <w:rsid w:val="0062382B"/>
    <w:rsid w:val="006238BC"/>
    <w:rsid w:val="00624A85"/>
    <w:rsid w:val="00627209"/>
    <w:rsid w:val="00627B94"/>
    <w:rsid w:val="00627E5D"/>
    <w:rsid w:val="00630EFA"/>
    <w:rsid w:val="0063214D"/>
    <w:rsid w:val="00633427"/>
    <w:rsid w:val="00633588"/>
    <w:rsid w:val="0063444D"/>
    <w:rsid w:val="00634CE4"/>
    <w:rsid w:val="00640C13"/>
    <w:rsid w:val="006427C3"/>
    <w:rsid w:val="00642EA5"/>
    <w:rsid w:val="00643406"/>
    <w:rsid w:val="006436DD"/>
    <w:rsid w:val="0064541D"/>
    <w:rsid w:val="00646986"/>
    <w:rsid w:val="00646A5B"/>
    <w:rsid w:val="006470FA"/>
    <w:rsid w:val="0064752A"/>
    <w:rsid w:val="00647883"/>
    <w:rsid w:val="00647A88"/>
    <w:rsid w:val="00647E4D"/>
    <w:rsid w:val="00650DD5"/>
    <w:rsid w:val="00651D9D"/>
    <w:rsid w:val="00652A33"/>
    <w:rsid w:val="006536CA"/>
    <w:rsid w:val="006560CE"/>
    <w:rsid w:val="006561B9"/>
    <w:rsid w:val="00657304"/>
    <w:rsid w:val="00660267"/>
    <w:rsid w:val="00660270"/>
    <w:rsid w:val="00660C0B"/>
    <w:rsid w:val="0066173B"/>
    <w:rsid w:val="00661A38"/>
    <w:rsid w:val="0066315A"/>
    <w:rsid w:val="006636E3"/>
    <w:rsid w:val="00664E7F"/>
    <w:rsid w:val="00667636"/>
    <w:rsid w:val="006676BE"/>
    <w:rsid w:val="00667E2C"/>
    <w:rsid w:val="00671331"/>
    <w:rsid w:val="0067134D"/>
    <w:rsid w:val="0067549F"/>
    <w:rsid w:val="006755B8"/>
    <w:rsid w:val="006777E3"/>
    <w:rsid w:val="00684159"/>
    <w:rsid w:val="00684E8B"/>
    <w:rsid w:val="0068536C"/>
    <w:rsid w:val="006871ED"/>
    <w:rsid w:val="00691297"/>
    <w:rsid w:val="006948EF"/>
    <w:rsid w:val="00694BFC"/>
    <w:rsid w:val="006957C0"/>
    <w:rsid w:val="006957F3"/>
    <w:rsid w:val="00695872"/>
    <w:rsid w:val="006A1D66"/>
    <w:rsid w:val="006A293B"/>
    <w:rsid w:val="006A3C43"/>
    <w:rsid w:val="006A4889"/>
    <w:rsid w:val="006A48C8"/>
    <w:rsid w:val="006A4F9A"/>
    <w:rsid w:val="006A7708"/>
    <w:rsid w:val="006A7D84"/>
    <w:rsid w:val="006B1C02"/>
    <w:rsid w:val="006B29D3"/>
    <w:rsid w:val="006B2AEE"/>
    <w:rsid w:val="006B2E5F"/>
    <w:rsid w:val="006B61F0"/>
    <w:rsid w:val="006B7226"/>
    <w:rsid w:val="006B7D8A"/>
    <w:rsid w:val="006C0EBA"/>
    <w:rsid w:val="006C30A4"/>
    <w:rsid w:val="006C3D08"/>
    <w:rsid w:val="006C580E"/>
    <w:rsid w:val="006C5DCB"/>
    <w:rsid w:val="006D0DDB"/>
    <w:rsid w:val="006D0E47"/>
    <w:rsid w:val="006D270A"/>
    <w:rsid w:val="006D6210"/>
    <w:rsid w:val="006E1620"/>
    <w:rsid w:val="006E2B27"/>
    <w:rsid w:val="006E2D4C"/>
    <w:rsid w:val="006E3CBD"/>
    <w:rsid w:val="006E409D"/>
    <w:rsid w:val="006E4EE5"/>
    <w:rsid w:val="006E4FFD"/>
    <w:rsid w:val="006E588A"/>
    <w:rsid w:val="006E6406"/>
    <w:rsid w:val="006E6C76"/>
    <w:rsid w:val="006E75FA"/>
    <w:rsid w:val="006F06E5"/>
    <w:rsid w:val="006F0747"/>
    <w:rsid w:val="006F2E2D"/>
    <w:rsid w:val="006F4D1B"/>
    <w:rsid w:val="006F6D10"/>
    <w:rsid w:val="006F7773"/>
    <w:rsid w:val="006F781D"/>
    <w:rsid w:val="00700AFD"/>
    <w:rsid w:val="00700FA1"/>
    <w:rsid w:val="00700FAD"/>
    <w:rsid w:val="0070210F"/>
    <w:rsid w:val="00702314"/>
    <w:rsid w:val="0070646B"/>
    <w:rsid w:val="007064D9"/>
    <w:rsid w:val="00706B40"/>
    <w:rsid w:val="00707A7A"/>
    <w:rsid w:val="00711753"/>
    <w:rsid w:val="00712ACD"/>
    <w:rsid w:val="0071300B"/>
    <w:rsid w:val="007135B2"/>
    <w:rsid w:val="007149DF"/>
    <w:rsid w:val="0071647E"/>
    <w:rsid w:val="00716817"/>
    <w:rsid w:val="00716924"/>
    <w:rsid w:val="0072172B"/>
    <w:rsid w:val="00721906"/>
    <w:rsid w:val="00721C21"/>
    <w:rsid w:val="0072332F"/>
    <w:rsid w:val="00723B14"/>
    <w:rsid w:val="007262A8"/>
    <w:rsid w:val="00726D9A"/>
    <w:rsid w:val="007271D0"/>
    <w:rsid w:val="00732C33"/>
    <w:rsid w:val="007332B6"/>
    <w:rsid w:val="007345F4"/>
    <w:rsid w:val="00736ECE"/>
    <w:rsid w:val="007410B8"/>
    <w:rsid w:val="007414AA"/>
    <w:rsid w:val="007429EC"/>
    <w:rsid w:val="00743DF9"/>
    <w:rsid w:val="00744F2D"/>
    <w:rsid w:val="007454C5"/>
    <w:rsid w:val="00750CF6"/>
    <w:rsid w:val="00751082"/>
    <w:rsid w:val="00753285"/>
    <w:rsid w:val="00753EE6"/>
    <w:rsid w:val="00754BBC"/>
    <w:rsid w:val="00754DB2"/>
    <w:rsid w:val="007563AB"/>
    <w:rsid w:val="007573AA"/>
    <w:rsid w:val="00761ABC"/>
    <w:rsid w:val="00766993"/>
    <w:rsid w:val="00766A0B"/>
    <w:rsid w:val="00766DBA"/>
    <w:rsid w:val="00771113"/>
    <w:rsid w:val="00771A95"/>
    <w:rsid w:val="00772045"/>
    <w:rsid w:val="00772A6C"/>
    <w:rsid w:val="00774E99"/>
    <w:rsid w:val="007759FA"/>
    <w:rsid w:val="00775C1A"/>
    <w:rsid w:val="007764E6"/>
    <w:rsid w:val="007770AC"/>
    <w:rsid w:val="00777320"/>
    <w:rsid w:val="00781695"/>
    <w:rsid w:val="007817BC"/>
    <w:rsid w:val="00782009"/>
    <w:rsid w:val="007845F8"/>
    <w:rsid w:val="00785361"/>
    <w:rsid w:val="007869CA"/>
    <w:rsid w:val="00786D17"/>
    <w:rsid w:val="0079033E"/>
    <w:rsid w:val="007906B2"/>
    <w:rsid w:val="00790903"/>
    <w:rsid w:val="0079146F"/>
    <w:rsid w:val="007919A9"/>
    <w:rsid w:val="007926BB"/>
    <w:rsid w:val="007933B7"/>
    <w:rsid w:val="0079476C"/>
    <w:rsid w:val="00794A64"/>
    <w:rsid w:val="00795A15"/>
    <w:rsid w:val="00796913"/>
    <w:rsid w:val="00797422"/>
    <w:rsid w:val="00797E70"/>
    <w:rsid w:val="007A1EB5"/>
    <w:rsid w:val="007A2E2D"/>
    <w:rsid w:val="007A4026"/>
    <w:rsid w:val="007A43EF"/>
    <w:rsid w:val="007A6DA1"/>
    <w:rsid w:val="007A7250"/>
    <w:rsid w:val="007A74E4"/>
    <w:rsid w:val="007B010E"/>
    <w:rsid w:val="007B024A"/>
    <w:rsid w:val="007B0DEC"/>
    <w:rsid w:val="007B14E0"/>
    <w:rsid w:val="007B2B21"/>
    <w:rsid w:val="007B3D44"/>
    <w:rsid w:val="007B3DF2"/>
    <w:rsid w:val="007B4F74"/>
    <w:rsid w:val="007B6070"/>
    <w:rsid w:val="007C0FCA"/>
    <w:rsid w:val="007C1723"/>
    <w:rsid w:val="007C1B99"/>
    <w:rsid w:val="007C25AE"/>
    <w:rsid w:val="007C3053"/>
    <w:rsid w:val="007C414F"/>
    <w:rsid w:val="007C42B1"/>
    <w:rsid w:val="007C47D4"/>
    <w:rsid w:val="007C5602"/>
    <w:rsid w:val="007D0A74"/>
    <w:rsid w:val="007D1A83"/>
    <w:rsid w:val="007D2816"/>
    <w:rsid w:val="007D5F75"/>
    <w:rsid w:val="007D7835"/>
    <w:rsid w:val="007D7942"/>
    <w:rsid w:val="007D7B51"/>
    <w:rsid w:val="007D7F75"/>
    <w:rsid w:val="007E0C64"/>
    <w:rsid w:val="007E187E"/>
    <w:rsid w:val="007E22DE"/>
    <w:rsid w:val="007F0BFD"/>
    <w:rsid w:val="007F327A"/>
    <w:rsid w:val="007F3610"/>
    <w:rsid w:val="007F3D56"/>
    <w:rsid w:val="007F3EE9"/>
    <w:rsid w:val="007F4F23"/>
    <w:rsid w:val="007F5096"/>
    <w:rsid w:val="007F5360"/>
    <w:rsid w:val="007F572E"/>
    <w:rsid w:val="007F6E76"/>
    <w:rsid w:val="0080257E"/>
    <w:rsid w:val="008034F7"/>
    <w:rsid w:val="008040BA"/>
    <w:rsid w:val="00807D48"/>
    <w:rsid w:val="00810935"/>
    <w:rsid w:val="00811939"/>
    <w:rsid w:val="008152A9"/>
    <w:rsid w:val="00815FB6"/>
    <w:rsid w:val="0081679E"/>
    <w:rsid w:val="00820BB8"/>
    <w:rsid w:val="00820FF3"/>
    <w:rsid w:val="00822CF5"/>
    <w:rsid w:val="00824228"/>
    <w:rsid w:val="00824A7A"/>
    <w:rsid w:val="00825208"/>
    <w:rsid w:val="008261C9"/>
    <w:rsid w:val="008319DC"/>
    <w:rsid w:val="008326B2"/>
    <w:rsid w:val="00833ADC"/>
    <w:rsid w:val="00833AFF"/>
    <w:rsid w:val="00833C39"/>
    <w:rsid w:val="00834485"/>
    <w:rsid w:val="008346DF"/>
    <w:rsid w:val="008376E6"/>
    <w:rsid w:val="00837C46"/>
    <w:rsid w:val="008421EC"/>
    <w:rsid w:val="008425B3"/>
    <w:rsid w:val="00843CD6"/>
    <w:rsid w:val="00845CCC"/>
    <w:rsid w:val="00855FE7"/>
    <w:rsid w:val="0085626C"/>
    <w:rsid w:val="0085714F"/>
    <w:rsid w:val="00860580"/>
    <w:rsid w:val="00861BCC"/>
    <w:rsid w:val="00862A8B"/>
    <w:rsid w:val="00862CCF"/>
    <w:rsid w:val="00864C94"/>
    <w:rsid w:val="00864F02"/>
    <w:rsid w:val="00865D43"/>
    <w:rsid w:val="00867A40"/>
    <w:rsid w:val="00870997"/>
    <w:rsid w:val="00870BE1"/>
    <w:rsid w:val="0087244C"/>
    <w:rsid w:val="00872530"/>
    <w:rsid w:val="00872B21"/>
    <w:rsid w:val="008740B6"/>
    <w:rsid w:val="00874450"/>
    <w:rsid w:val="00874767"/>
    <w:rsid w:val="00874F65"/>
    <w:rsid w:val="00875B68"/>
    <w:rsid w:val="00875EF2"/>
    <w:rsid w:val="0087650B"/>
    <w:rsid w:val="008766D8"/>
    <w:rsid w:val="008772B2"/>
    <w:rsid w:val="008824AA"/>
    <w:rsid w:val="00882BB1"/>
    <w:rsid w:val="00882E3A"/>
    <w:rsid w:val="0088517D"/>
    <w:rsid w:val="00885C42"/>
    <w:rsid w:val="00885CC5"/>
    <w:rsid w:val="00886EE0"/>
    <w:rsid w:val="008870BB"/>
    <w:rsid w:val="00887922"/>
    <w:rsid w:val="00887B78"/>
    <w:rsid w:val="00890BAA"/>
    <w:rsid w:val="00894805"/>
    <w:rsid w:val="008972E8"/>
    <w:rsid w:val="008A011F"/>
    <w:rsid w:val="008A0D58"/>
    <w:rsid w:val="008A11A3"/>
    <w:rsid w:val="008A2584"/>
    <w:rsid w:val="008A2A28"/>
    <w:rsid w:val="008A32B4"/>
    <w:rsid w:val="008A3EC6"/>
    <w:rsid w:val="008A4A56"/>
    <w:rsid w:val="008A54FA"/>
    <w:rsid w:val="008A6F30"/>
    <w:rsid w:val="008B1660"/>
    <w:rsid w:val="008B2487"/>
    <w:rsid w:val="008B2CA2"/>
    <w:rsid w:val="008B4124"/>
    <w:rsid w:val="008B53BD"/>
    <w:rsid w:val="008B5BDA"/>
    <w:rsid w:val="008B5E67"/>
    <w:rsid w:val="008B6531"/>
    <w:rsid w:val="008B7986"/>
    <w:rsid w:val="008B7CC0"/>
    <w:rsid w:val="008B7EAB"/>
    <w:rsid w:val="008C09F9"/>
    <w:rsid w:val="008C0BB4"/>
    <w:rsid w:val="008C148A"/>
    <w:rsid w:val="008C19CA"/>
    <w:rsid w:val="008C3D42"/>
    <w:rsid w:val="008C4BA0"/>
    <w:rsid w:val="008C5DC0"/>
    <w:rsid w:val="008C72DC"/>
    <w:rsid w:val="008D6472"/>
    <w:rsid w:val="008D773D"/>
    <w:rsid w:val="008D7BB3"/>
    <w:rsid w:val="008E3955"/>
    <w:rsid w:val="008E4FF6"/>
    <w:rsid w:val="008E6D0F"/>
    <w:rsid w:val="008F0269"/>
    <w:rsid w:val="008F47BF"/>
    <w:rsid w:val="008F5C21"/>
    <w:rsid w:val="009002A1"/>
    <w:rsid w:val="00900D77"/>
    <w:rsid w:val="00901A75"/>
    <w:rsid w:val="00901E28"/>
    <w:rsid w:val="009049AA"/>
    <w:rsid w:val="0090540C"/>
    <w:rsid w:val="00905495"/>
    <w:rsid w:val="009072D3"/>
    <w:rsid w:val="0090739D"/>
    <w:rsid w:val="00910137"/>
    <w:rsid w:val="009109B9"/>
    <w:rsid w:val="00911B91"/>
    <w:rsid w:val="00911D86"/>
    <w:rsid w:val="00912221"/>
    <w:rsid w:val="00912CB7"/>
    <w:rsid w:val="00913A6B"/>
    <w:rsid w:val="00914147"/>
    <w:rsid w:val="00920F1C"/>
    <w:rsid w:val="00920F24"/>
    <w:rsid w:val="00920F5E"/>
    <w:rsid w:val="00921468"/>
    <w:rsid w:val="009222A3"/>
    <w:rsid w:val="009228DE"/>
    <w:rsid w:val="00925F5A"/>
    <w:rsid w:val="00926531"/>
    <w:rsid w:val="009268BB"/>
    <w:rsid w:val="009271D3"/>
    <w:rsid w:val="00927C46"/>
    <w:rsid w:val="00931295"/>
    <w:rsid w:val="009314E4"/>
    <w:rsid w:val="00932FEB"/>
    <w:rsid w:val="00933F93"/>
    <w:rsid w:val="00936829"/>
    <w:rsid w:val="009374DA"/>
    <w:rsid w:val="00937A5F"/>
    <w:rsid w:val="0094067F"/>
    <w:rsid w:val="0094429B"/>
    <w:rsid w:val="00946636"/>
    <w:rsid w:val="0094759B"/>
    <w:rsid w:val="00950D74"/>
    <w:rsid w:val="009512FC"/>
    <w:rsid w:val="009535DB"/>
    <w:rsid w:val="0095378D"/>
    <w:rsid w:val="009555A6"/>
    <w:rsid w:val="009568F6"/>
    <w:rsid w:val="00957376"/>
    <w:rsid w:val="00960652"/>
    <w:rsid w:val="0096089F"/>
    <w:rsid w:val="009627C5"/>
    <w:rsid w:val="00966196"/>
    <w:rsid w:val="009665A7"/>
    <w:rsid w:val="0096672A"/>
    <w:rsid w:val="00970100"/>
    <w:rsid w:val="00970C73"/>
    <w:rsid w:val="0097130D"/>
    <w:rsid w:val="00972313"/>
    <w:rsid w:val="00973DC4"/>
    <w:rsid w:val="00975E4B"/>
    <w:rsid w:val="00980557"/>
    <w:rsid w:val="00980763"/>
    <w:rsid w:val="009825AD"/>
    <w:rsid w:val="009829CC"/>
    <w:rsid w:val="00983751"/>
    <w:rsid w:val="00983AFA"/>
    <w:rsid w:val="00983FC5"/>
    <w:rsid w:val="009854B8"/>
    <w:rsid w:val="009861B6"/>
    <w:rsid w:val="00987672"/>
    <w:rsid w:val="00991AA7"/>
    <w:rsid w:val="00993482"/>
    <w:rsid w:val="0099591D"/>
    <w:rsid w:val="00996798"/>
    <w:rsid w:val="00997987"/>
    <w:rsid w:val="00997BA5"/>
    <w:rsid w:val="009A1670"/>
    <w:rsid w:val="009A1AAD"/>
    <w:rsid w:val="009A356A"/>
    <w:rsid w:val="009A7D0B"/>
    <w:rsid w:val="009B009A"/>
    <w:rsid w:val="009B18D3"/>
    <w:rsid w:val="009B44CA"/>
    <w:rsid w:val="009B6034"/>
    <w:rsid w:val="009B6B7E"/>
    <w:rsid w:val="009C1413"/>
    <w:rsid w:val="009C16D1"/>
    <w:rsid w:val="009C38AA"/>
    <w:rsid w:val="009D1262"/>
    <w:rsid w:val="009D1688"/>
    <w:rsid w:val="009D19DE"/>
    <w:rsid w:val="009D2C9A"/>
    <w:rsid w:val="009D4143"/>
    <w:rsid w:val="009D5FE3"/>
    <w:rsid w:val="009D60AC"/>
    <w:rsid w:val="009D6A89"/>
    <w:rsid w:val="009D7628"/>
    <w:rsid w:val="009E1E96"/>
    <w:rsid w:val="009E2460"/>
    <w:rsid w:val="009E3905"/>
    <w:rsid w:val="009E3E06"/>
    <w:rsid w:val="009E470E"/>
    <w:rsid w:val="009E5614"/>
    <w:rsid w:val="009E6D00"/>
    <w:rsid w:val="009F15A7"/>
    <w:rsid w:val="009F2C84"/>
    <w:rsid w:val="009F3591"/>
    <w:rsid w:val="009F5C38"/>
    <w:rsid w:val="009F5E7D"/>
    <w:rsid w:val="009F769D"/>
    <w:rsid w:val="00A00393"/>
    <w:rsid w:val="00A02996"/>
    <w:rsid w:val="00A0368E"/>
    <w:rsid w:val="00A03EAC"/>
    <w:rsid w:val="00A045DE"/>
    <w:rsid w:val="00A07049"/>
    <w:rsid w:val="00A07439"/>
    <w:rsid w:val="00A105CF"/>
    <w:rsid w:val="00A1163B"/>
    <w:rsid w:val="00A11C33"/>
    <w:rsid w:val="00A16657"/>
    <w:rsid w:val="00A21268"/>
    <w:rsid w:val="00A224DA"/>
    <w:rsid w:val="00A24DC5"/>
    <w:rsid w:val="00A2511E"/>
    <w:rsid w:val="00A26EB3"/>
    <w:rsid w:val="00A271AC"/>
    <w:rsid w:val="00A27D3B"/>
    <w:rsid w:val="00A3106A"/>
    <w:rsid w:val="00A313F9"/>
    <w:rsid w:val="00A32618"/>
    <w:rsid w:val="00A355F2"/>
    <w:rsid w:val="00A368A1"/>
    <w:rsid w:val="00A37FB1"/>
    <w:rsid w:val="00A40076"/>
    <w:rsid w:val="00A40207"/>
    <w:rsid w:val="00A43569"/>
    <w:rsid w:val="00A43805"/>
    <w:rsid w:val="00A47B10"/>
    <w:rsid w:val="00A508A9"/>
    <w:rsid w:val="00A52015"/>
    <w:rsid w:val="00A52C4F"/>
    <w:rsid w:val="00A53082"/>
    <w:rsid w:val="00A5439B"/>
    <w:rsid w:val="00A5559D"/>
    <w:rsid w:val="00A55FB3"/>
    <w:rsid w:val="00A5625E"/>
    <w:rsid w:val="00A56A8F"/>
    <w:rsid w:val="00A56D07"/>
    <w:rsid w:val="00A573C8"/>
    <w:rsid w:val="00A70B11"/>
    <w:rsid w:val="00A7253E"/>
    <w:rsid w:val="00A7259B"/>
    <w:rsid w:val="00A728EF"/>
    <w:rsid w:val="00A72AFA"/>
    <w:rsid w:val="00A7348B"/>
    <w:rsid w:val="00A75D14"/>
    <w:rsid w:val="00A77C13"/>
    <w:rsid w:val="00A815F9"/>
    <w:rsid w:val="00A83CB7"/>
    <w:rsid w:val="00A8617A"/>
    <w:rsid w:val="00A90251"/>
    <w:rsid w:val="00A91E7A"/>
    <w:rsid w:val="00A93EFD"/>
    <w:rsid w:val="00A957EB"/>
    <w:rsid w:val="00A9760E"/>
    <w:rsid w:val="00A97739"/>
    <w:rsid w:val="00A97F46"/>
    <w:rsid w:val="00AA0BF1"/>
    <w:rsid w:val="00AA1D16"/>
    <w:rsid w:val="00AA1DAA"/>
    <w:rsid w:val="00AA5A76"/>
    <w:rsid w:val="00AA6DB7"/>
    <w:rsid w:val="00AB4AF8"/>
    <w:rsid w:val="00AB6CAE"/>
    <w:rsid w:val="00AC18CB"/>
    <w:rsid w:val="00AC216F"/>
    <w:rsid w:val="00AC22E6"/>
    <w:rsid w:val="00AC2AA6"/>
    <w:rsid w:val="00AC3D0D"/>
    <w:rsid w:val="00AC566F"/>
    <w:rsid w:val="00AC7B3D"/>
    <w:rsid w:val="00AC7BBD"/>
    <w:rsid w:val="00AD0B38"/>
    <w:rsid w:val="00AD1C3D"/>
    <w:rsid w:val="00AD1E0E"/>
    <w:rsid w:val="00AD24BB"/>
    <w:rsid w:val="00AD3183"/>
    <w:rsid w:val="00AD416F"/>
    <w:rsid w:val="00AD7CCA"/>
    <w:rsid w:val="00AE1759"/>
    <w:rsid w:val="00AE257B"/>
    <w:rsid w:val="00AE35E9"/>
    <w:rsid w:val="00AF0454"/>
    <w:rsid w:val="00AF0730"/>
    <w:rsid w:val="00AF0E88"/>
    <w:rsid w:val="00AF5B3E"/>
    <w:rsid w:val="00AF5E74"/>
    <w:rsid w:val="00AF5EE9"/>
    <w:rsid w:val="00B0012F"/>
    <w:rsid w:val="00B0054D"/>
    <w:rsid w:val="00B00D82"/>
    <w:rsid w:val="00B0173F"/>
    <w:rsid w:val="00B01BBA"/>
    <w:rsid w:val="00B0236D"/>
    <w:rsid w:val="00B02935"/>
    <w:rsid w:val="00B0398F"/>
    <w:rsid w:val="00B03F79"/>
    <w:rsid w:val="00B048F5"/>
    <w:rsid w:val="00B0552B"/>
    <w:rsid w:val="00B055DB"/>
    <w:rsid w:val="00B110C2"/>
    <w:rsid w:val="00B119FD"/>
    <w:rsid w:val="00B12B55"/>
    <w:rsid w:val="00B155E5"/>
    <w:rsid w:val="00B1770B"/>
    <w:rsid w:val="00B179B5"/>
    <w:rsid w:val="00B202DE"/>
    <w:rsid w:val="00B20E73"/>
    <w:rsid w:val="00B21998"/>
    <w:rsid w:val="00B223F5"/>
    <w:rsid w:val="00B26EFE"/>
    <w:rsid w:val="00B27756"/>
    <w:rsid w:val="00B30E97"/>
    <w:rsid w:val="00B333E8"/>
    <w:rsid w:val="00B344F0"/>
    <w:rsid w:val="00B34DFD"/>
    <w:rsid w:val="00B34F2B"/>
    <w:rsid w:val="00B34FF4"/>
    <w:rsid w:val="00B40E5C"/>
    <w:rsid w:val="00B42A9B"/>
    <w:rsid w:val="00B42BFB"/>
    <w:rsid w:val="00B4302F"/>
    <w:rsid w:val="00B4348E"/>
    <w:rsid w:val="00B43DF6"/>
    <w:rsid w:val="00B453FC"/>
    <w:rsid w:val="00B45E4B"/>
    <w:rsid w:val="00B51561"/>
    <w:rsid w:val="00B51C55"/>
    <w:rsid w:val="00B52D9D"/>
    <w:rsid w:val="00B5401A"/>
    <w:rsid w:val="00B559BD"/>
    <w:rsid w:val="00B55B02"/>
    <w:rsid w:val="00B565A4"/>
    <w:rsid w:val="00B57E4A"/>
    <w:rsid w:val="00B602F1"/>
    <w:rsid w:val="00B60668"/>
    <w:rsid w:val="00B61923"/>
    <w:rsid w:val="00B624CB"/>
    <w:rsid w:val="00B6258B"/>
    <w:rsid w:val="00B63C18"/>
    <w:rsid w:val="00B67D62"/>
    <w:rsid w:val="00B72B02"/>
    <w:rsid w:val="00B746EE"/>
    <w:rsid w:val="00B7565C"/>
    <w:rsid w:val="00B75BA1"/>
    <w:rsid w:val="00B7794A"/>
    <w:rsid w:val="00B80B33"/>
    <w:rsid w:val="00B81C1C"/>
    <w:rsid w:val="00B81D30"/>
    <w:rsid w:val="00B836E8"/>
    <w:rsid w:val="00B842CE"/>
    <w:rsid w:val="00B84550"/>
    <w:rsid w:val="00B85FED"/>
    <w:rsid w:val="00B904E9"/>
    <w:rsid w:val="00B90AB8"/>
    <w:rsid w:val="00B91898"/>
    <w:rsid w:val="00B9296C"/>
    <w:rsid w:val="00B93623"/>
    <w:rsid w:val="00B93B9F"/>
    <w:rsid w:val="00B93D01"/>
    <w:rsid w:val="00B9680A"/>
    <w:rsid w:val="00B969C3"/>
    <w:rsid w:val="00B96CEB"/>
    <w:rsid w:val="00B97FD7"/>
    <w:rsid w:val="00BA05C2"/>
    <w:rsid w:val="00BA079B"/>
    <w:rsid w:val="00BA0C2B"/>
    <w:rsid w:val="00BA0EC3"/>
    <w:rsid w:val="00BA1FD1"/>
    <w:rsid w:val="00BA2BCF"/>
    <w:rsid w:val="00BA3734"/>
    <w:rsid w:val="00BA5589"/>
    <w:rsid w:val="00BA5B83"/>
    <w:rsid w:val="00BA6A73"/>
    <w:rsid w:val="00BA747F"/>
    <w:rsid w:val="00BB2D46"/>
    <w:rsid w:val="00BB2EF5"/>
    <w:rsid w:val="00BB3672"/>
    <w:rsid w:val="00BB4405"/>
    <w:rsid w:val="00BB5692"/>
    <w:rsid w:val="00BB7007"/>
    <w:rsid w:val="00BC1706"/>
    <w:rsid w:val="00BC1D23"/>
    <w:rsid w:val="00BC225C"/>
    <w:rsid w:val="00BC35E1"/>
    <w:rsid w:val="00BC4E8C"/>
    <w:rsid w:val="00BC628F"/>
    <w:rsid w:val="00BD17CA"/>
    <w:rsid w:val="00BD2E37"/>
    <w:rsid w:val="00BD3B30"/>
    <w:rsid w:val="00BD5A02"/>
    <w:rsid w:val="00BD65CA"/>
    <w:rsid w:val="00BE0507"/>
    <w:rsid w:val="00BE3ADB"/>
    <w:rsid w:val="00BE461F"/>
    <w:rsid w:val="00BE4C1B"/>
    <w:rsid w:val="00BE4E2F"/>
    <w:rsid w:val="00BE5826"/>
    <w:rsid w:val="00BE5ACF"/>
    <w:rsid w:val="00BE65FD"/>
    <w:rsid w:val="00BF02BD"/>
    <w:rsid w:val="00BF2987"/>
    <w:rsid w:val="00BF5C62"/>
    <w:rsid w:val="00BF713B"/>
    <w:rsid w:val="00BF7EB1"/>
    <w:rsid w:val="00C021F8"/>
    <w:rsid w:val="00C10246"/>
    <w:rsid w:val="00C1056F"/>
    <w:rsid w:val="00C10C05"/>
    <w:rsid w:val="00C10F1F"/>
    <w:rsid w:val="00C1259A"/>
    <w:rsid w:val="00C13CE7"/>
    <w:rsid w:val="00C1434B"/>
    <w:rsid w:val="00C146DB"/>
    <w:rsid w:val="00C151A2"/>
    <w:rsid w:val="00C154CE"/>
    <w:rsid w:val="00C1633E"/>
    <w:rsid w:val="00C21488"/>
    <w:rsid w:val="00C2171D"/>
    <w:rsid w:val="00C21E6D"/>
    <w:rsid w:val="00C23566"/>
    <w:rsid w:val="00C238D5"/>
    <w:rsid w:val="00C23BA0"/>
    <w:rsid w:val="00C26A1C"/>
    <w:rsid w:val="00C31274"/>
    <w:rsid w:val="00C31294"/>
    <w:rsid w:val="00C34717"/>
    <w:rsid w:val="00C3512B"/>
    <w:rsid w:val="00C361A2"/>
    <w:rsid w:val="00C36B2C"/>
    <w:rsid w:val="00C3749D"/>
    <w:rsid w:val="00C40500"/>
    <w:rsid w:val="00C409A4"/>
    <w:rsid w:val="00C40EF4"/>
    <w:rsid w:val="00C45F85"/>
    <w:rsid w:val="00C45FD2"/>
    <w:rsid w:val="00C46DDB"/>
    <w:rsid w:val="00C46EEF"/>
    <w:rsid w:val="00C50897"/>
    <w:rsid w:val="00C534F1"/>
    <w:rsid w:val="00C54B81"/>
    <w:rsid w:val="00C563DE"/>
    <w:rsid w:val="00C57723"/>
    <w:rsid w:val="00C61663"/>
    <w:rsid w:val="00C6284A"/>
    <w:rsid w:val="00C6515F"/>
    <w:rsid w:val="00C665FA"/>
    <w:rsid w:val="00C67B94"/>
    <w:rsid w:val="00C7160D"/>
    <w:rsid w:val="00C73889"/>
    <w:rsid w:val="00C75037"/>
    <w:rsid w:val="00C75D12"/>
    <w:rsid w:val="00C7701F"/>
    <w:rsid w:val="00C805CF"/>
    <w:rsid w:val="00C80A87"/>
    <w:rsid w:val="00C81DAF"/>
    <w:rsid w:val="00C81FC7"/>
    <w:rsid w:val="00C82991"/>
    <w:rsid w:val="00C82A02"/>
    <w:rsid w:val="00C83901"/>
    <w:rsid w:val="00C85888"/>
    <w:rsid w:val="00C859D3"/>
    <w:rsid w:val="00C90B68"/>
    <w:rsid w:val="00C94952"/>
    <w:rsid w:val="00C9501A"/>
    <w:rsid w:val="00CA3A3E"/>
    <w:rsid w:val="00CA6D59"/>
    <w:rsid w:val="00CB3F49"/>
    <w:rsid w:val="00CB513A"/>
    <w:rsid w:val="00CB67F7"/>
    <w:rsid w:val="00CB6BE3"/>
    <w:rsid w:val="00CB7854"/>
    <w:rsid w:val="00CC03DE"/>
    <w:rsid w:val="00CC38D8"/>
    <w:rsid w:val="00CC3E9D"/>
    <w:rsid w:val="00CC51DF"/>
    <w:rsid w:val="00CD1047"/>
    <w:rsid w:val="00CD186B"/>
    <w:rsid w:val="00CD4097"/>
    <w:rsid w:val="00CD42EE"/>
    <w:rsid w:val="00CD5E8D"/>
    <w:rsid w:val="00CD6F6C"/>
    <w:rsid w:val="00CE081F"/>
    <w:rsid w:val="00CE19DB"/>
    <w:rsid w:val="00CE2992"/>
    <w:rsid w:val="00CE3A3D"/>
    <w:rsid w:val="00CE4007"/>
    <w:rsid w:val="00CE474F"/>
    <w:rsid w:val="00CE5D8D"/>
    <w:rsid w:val="00CE7595"/>
    <w:rsid w:val="00CE7CC6"/>
    <w:rsid w:val="00CF27D0"/>
    <w:rsid w:val="00CF326B"/>
    <w:rsid w:val="00CF4022"/>
    <w:rsid w:val="00CF4ABC"/>
    <w:rsid w:val="00CF6680"/>
    <w:rsid w:val="00CF6710"/>
    <w:rsid w:val="00D00DEB"/>
    <w:rsid w:val="00D01351"/>
    <w:rsid w:val="00D01915"/>
    <w:rsid w:val="00D02DF6"/>
    <w:rsid w:val="00D03A74"/>
    <w:rsid w:val="00D0511C"/>
    <w:rsid w:val="00D055FE"/>
    <w:rsid w:val="00D07287"/>
    <w:rsid w:val="00D104DE"/>
    <w:rsid w:val="00D10C0B"/>
    <w:rsid w:val="00D10F60"/>
    <w:rsid w:val="00D11903"/>
    <w:rsid w:val="00D127DF"/>
    <w:rsid w:val="00D127F2"/>
    <w:rsid w:val="00D179A5"/>
    <w:rsid w:val="00D207D4"/>
    <w:rsid w:val="00D2541B"/>
    <w:rsid w:val="00D32B26"/>
    <w:rsid w:val="00D336C1"/>
    <w:rsid w:val="00D34F73"/>
    <w:rsid w:val="00D4014C"/>
    <w:rsid w:val="00D402D7"/>
    <w:rsid w:val="00D42122"/>
    <w:rsid w:val="00D42399"/>
    <w:rsid w:val="00D426A6"/>
    <w:rsid w:val="00D42723"/>
    <w:rsid w:val="00D42E08"/>
    <w:rsid w:val="00D42E67"/>
    <w:rsid w:val="00D440EB"/>
    <w:rsid w:val="00D47293"/>
    <w:rsid w:val="00D47C27"/>
    <w:rsid w:val="00D514C8"/>
    <w:rsid w:val="00D5191F"/>
    <w:rsid w:val="00D524D0"/>
    <w:rsid w:val="00D53B51"/>
    <w:rsid w:val="00D55FAF"/>
    <w:rsid w:val="00D56C14"/>
    <w:rsid w:val="00D571AC"/>
    <w:rsid w:val="00D57C4C"/>
    <w:rsid w:val="00D57CC2"/>
    <w:rsid w:val="00D602D1"/>
    <w:rsid w:val="00D664DC"/>
    <w:rsid w:val="00D67667"/>
    <w:rsid w:val="00D7330C"/>
    <w:rsid w:val="00D75877"/>
    <w:rsid w:val="00D759A4"/>
    <w:rsid w:val="00D75BA1"/>
    <w:rsid w:val="00D77352"/>
    <w:rsid w:val="00D812E8"/>
    <w:rsid w:val="00D8167B"/>
    <w:rsid w:val="00D81A87"/>
    <w:rsid w:val="00D81E51"/>
    <w:rsid w:val="00D836C7"/>
    <w:rsid w:val="00D8370C"/>
    <w:rsid w:val="00D84771"/>
    <w:rsid w:val="00D84F83"/>
    <w:rsid w:val="00D91EB5"/>
    <w:rsid w:val="00D93CB0"/>
    <w:rsid w:val="00DA5781"/>
    <w:rsid w:val="00DA586B"/>
    <w:rsid w:val="00DA654D"/>
    <w:rsid w:val="00DA696A"/>
    <w:rsid w:val="00DA6D2D"/>
    <w:rsid w:val="00DB1838"/>
    <w:rsid w:val="00DB1B56"/>
    <w:rsid w:val="00DB2178"/>
    <w:rsid w:val="00DB2561"/>
    <w:rsid w:val="00DB3424"/>
    <w:rsid w:val="00DB3FF5"/>
    <w:rsid w:val="00DB4C2B"/>
    <w:rsid w:val="00DB63BC"/>
    <w:rsid w:val="00DC001B"/>
    <w:rsid w:val="00DC06AE"/>
    <w:rsid w:val="00DC0C13"/>
    <w:rsid w:val="00DC14F5"/>
    <w:rsid w:val="00DC1649"/>
    <w:rsid w:val="00DC1A61"/>
    <w:rsid w:val="00DC326D"/>
    <w:rsid w:val="00DC6627"/>
    <w:rsid w:val="00DC753C"/>
    <w:rsid w:val="00DD04EF"/>
    <w:rsid w:val="00DD20B5"/>
    <w:rsid w:val="00DD43F3"/>
    <w:rsid w:val="00DD53AC"/>
    <w:rsid w:val="00DE04C5"/>
    <w:rsid w:val="00DE286A"/>
    <w:rsid w:val="00DE303F"/>
    <w:rsid w:val="00DE366C"/>
    <w:rsid w:val="00DE4595"/>
    <w:rsid w:val="00DE74FC"/>
    <w:rsid w:val="00DF1267"/>
    <w:rsid w:val="00DF4188"/>
    <w:rsid w:val="00DF4331"/>
    <w:rsid w:val="00DF4EE0"/>
    <w:rsid w:val="00DF4FBB"/>
    <w:rsid w:val="00DF5518"/>
    <w:rsid w:val="00DF626B"/>
    <w:rsid w:val="00DF6A40"/>
    <w:rsid w:val="00E013A4"/>
    <w:rsid w:val="00E01D3B"/>
    <w:rsid w:val="00E01D56"/>
    <w:rsid w:val="00E02B63"/>
    <w:rsid w:val="00E036CA"/>
    <w:rsid w:val="00E058A8"/>
    <w:rsid w:val="00E059E1"/>
    <w:rsid w:val="00E06022"/>
    <w:rsid w:val="00E06545"/>
    <w:rsid w:val="00E109C1"/>
    <w:rsid w:val="00E10FD3"/>
    <w:rsid w:val="00E11FE3"/>
    <w:rsid w:val="00E12D02"/>
    <w:rsid w:val="00E15D30"/>
    <w:rsid w:val="00E1752F"/>
    <w:rsid w:val="00E17779"/>
    <w:rsid w:val="00E20334"/>
    <w:rsid w:val="00E21E4E"/>
    <w:rsid w:val="00E22DDB"/>
    <w:rsid w:val="00E2357E"/>
    <w:rsid w:val="00E2393B"/>
    <w:rsid w:val="00E24017"/>
    <w:rsid w:val="00E24DD1"/>
    <w:rsid w:val="00E318AD"/>
    <w:rsid w:val="00E3290E"/>
    <w:rsid w:val="00E32D4B"/>
    <w:rsid w:val="00E341D1"/>
    <w:rsid w:val="00E3784D"/>
    <w:rsid w:val="00E37F9E"/>
    <w:rsid w:val="00E40619"/>
    <w:rsid w:val="00E43E17"/>
    <w:rsid w:val="00E44035"/>
    <w:rsid w:val="00E444B6"/>
    <w:rsid w:val="00E46192"/>
    <w:rsid w:val="00E47A99"/>
    <w:rsid w:val="00E5166E"/>
    <w:rsid w:val="00E52147"/>
    <w:rsid w:val="00E530E5"/>
    <w:rsid w:val="00E5339E"/>
    <w:rsid w:val="00E55213"/>
    <w:rsid w:val="00E55ADE"/>
    <w:rsid w:val="00E55D30"/>
    <w:rsid w:val="00E566D8"/>
    <w:rsid w:val="00E569A3"/>
    <w:rsid w:val="00E66200"/>
    <w:rsid w:val="00E711AD"/>
    <w:rsid w:val="00E713B1"/>
    <w:rsid w:val="00E7208A"/>
    <w:rsid w:val="00E73864"/>
    <w:rsid w:val="00E74CCC"/>
    <w:rsid w:val="00E802D7"/>
    <w:rsid w:val="00E86335"/>
    <w:rsid w:val="00E86448"/>
    <w:rsid w:val="00E9153C"/>
    <w:rsid w:val="00E916DA"/>
    <w:rsid w:val="00E93FA8"/>
    <w:rsid w:val="00E94F8D"/>
    <w:rsid w:val="00E95ACA"/>
    <w:rsid w:val="00E9676E"/>
    <w:rsid w:val="00EA094D"/>
    <w:rsid w:val="00EA4E91"/>
    <w:rsid w:val="00EA6D46"/>
    <w:rsid w:val="00EA7433"/>
    <w:rsid w:val="00EB049D"/>
    <w:rsid w:val="00EB1E0B"/>
    <w:rsid w:val="00EB2354"/>
    <w:rsid w:val="00EB3DF1"/>
    <w:rsid w:val="00EB6449"/>
    <w:rsid w:val="00EB7FD0"/>
    <w:rsid w:val="00EC1E0F"/>
    <w:rsid w:val="00EC2FA7"/>
    <w:rsid w:val="00EC3C95"/>
    <w:rsid w:val="00EC3D31"/>
    <w:rsid w:val="00EC651D"/>
    <w:rsid w:val="00ED07C5"/>
    <w:rsid w:val="00ED12BA"/>
    <w:rsid w:val="00ED5D89"/>
    <w:rsid w:val="00ED641C"/>
    <w:rsid w:val="00EE040D"/>
    <w:rsid w:val="00EE043E"/>
    <w:rsid w:val="00EE19A1"/>
    <w:rsid w:val="00EE2A64"/>
    <w:rsid w:val="00EE7329"/>
    <w:rsid w:val="00EE79AD"/>
    <w:rsid w:val="00EF05FC"/>
    <w:rsid w:val="00EF0645"/>
    <w:rsid w:val="00EF13A2"/>
    <w:rsid w:val="00EF2818"/>
    <w:rsid w:val="00EF2A3E"/>
    <w:rsid w:val="00EF6A29"/>
    <w:rsid w:val="00EF714A"/>
    <w:rsid w:val="00F0012B"/>
    <w:rsid w:val="00F0091A"/>
    <w:rsid w:val="00F00D0E"/>
    <w:rsid w:val="00F013C9"/>
    <w:rsid w:val="00F0158E"/>
    <w:rsid w:val="00F02CFD"/>
    <w:rsid w:val="00F03DB8"/>
    <w:rsid w:val="00F03E5C"/>
    <w:rsid w:val="00F044F5"/>
    <w:rsid w:val="00F06EBA"/>
    <w:rsid w:val="00F07294"/>
    <w:rsid w:val="00F07738"/>
    <w:rsid w:val="00F10C26"/>
    <w:rsid w:val="00F10C78"/>
    <w:rsid w:val="00F10DC6"/>
    <w:rsid w:val="00F12939"/>
    <w:rsid w:val="00F133DA"/>
    <w:rsid w:val="00F13DA7"/>
    <w:rsid w:val="00F168B4"/>
    <w:rsid w:val="00F17F88"/>
    <w:rsid w:val="00F207E7"/>
    <w:rsid w:val="00F21027"/>
    <w:rsid w:val="00F21867"/>
    <w:rsid w:val="00F21B2D"/>
    <w:rsid w:val="00F23006"/>
    <w:rsid w:val="00F24343"/>
    <w:rsid w:val="00F25AA6"/>
    <w:rsid w:val="00F26996"/>
    <w:rsid w:val="00F2757E"/>
    <w:rsid w:val="00F30916"/>
    <w:rsid w:val="00F309B6"/>
    <w:rsid w:val="00F322C7"/>
    <w:rsid w:val="00F32DA5"/>
    <w:rsid w:val="00F336E8"/>
    <w:rsid w:val="00F33885"/>
    <w:rsid w:val="00F34909"/>
    <w:rsid w:val="00F3696D"/>
    <w:rsid w:val="00F37312"/>
    <w:rsid w:val="00F405BA"/>
    <w:rsid w:val="00F408C5"/>
    <w:rsid w:val="00F41100"/>
    <w:rsid w:val="00F41F6D"/>
    <w:rsid w:val="00F45F16"/>
    <w:rsid w:val="00F472AB"/>
    <w:rsid w:val="00F47E24"/>
    <w:rsid w:val="00F513EF"/>
    <w:rsid w:val="00F514D2"/>
    <w:rsid w:val="00F51631"/>
    <w:rsid w:val="00F5296D"/>
    <w:rsid w:val="00F53715"/>
    <w:rsid w:val="00F54236"/>
    <w:rsid w:val="00F57C4C"/>
    <w:rsid w:val="00F57DBC"/>
    <w:rsid w:val="00F60F19"/>
    <w:rsid w:val="00F611F6"/>
    <w:rsid w:val="00F6124B"/>
    <w:rsid w:val="00F6142B"/>
    <w:rsid w:val="00F61F32"/>
    <w:rsid w:val="00F62E0E"/>
    <w:rsid w:val="00F64028"/>
    <w:rsid w:val="00F64FAE"/>
    <w:rsid w:val="00F65113"/>
    <w:rsid w:val="00F65225"/>
    <w:rsid w:val="00F668BA"/>
    <w:rsid w:val="00F708EA"/>
    <w:rsid w:val="00F710F1"/>
    <w:rsid w:val="00F71787"/>
    <w:rsid w:val="00F72393"/>
    <w:rsid w:val="00F73521"/>
    <w:rsid w:val="00F73E93"/>
    <w:rsid w:val="00F754E7"/>
    <w:rsid w:val="00F805DE"/>
    <w:rsid w:val="00F80779"/>
    <w:rsid w:val="00F80CF4"/>
    <w:rsid w:val="00F82DF3"/>
    <w:rsid w:val="00F853CC"/>
    <w:rsid w:val="00F86108"/>
    <w:rsid w:val="00F86F0C"/>
    <w:rsid w:val="00F90325"/>
    <w:rsid w:val="00F91884"/>
    <w:rsid w:val="00F91D18"/>
    <w:rsid w:val="00F92BD9"/>
    <w:rsid w:val="00F93C52"/>
    <w:rsid w:val="00F96118"/>
    <w:rsid w:val="00F97061"/>
    <w:rsid w:val="00F97DC4"/>
    <w:rsid w:val="00FA068E"/>
    <w:rsid w:val="00FA0A9A"/>
    <w:rsid w:val="00FA3621"/>
    <w:rsid w:val="00FA3B89"/>
    <w:rsid w:val="00FA5957"/>
    <w:rsid w:val="00FA7BAA"/>
    <w:rsid w:val="00FB2ACB"/>
    <w:rsid w:val="00FB4250"/>
    <w:rsid w:val="00FB61E3"/>
    <w:rsid w:val="00FC2FBF"/>
    <w:rsid w:val="00FC30B2"/>
    <w:rsid w:val="00FC3799"/>
    <w:rsid w:val="00FC4732"/>
    <w:rsid w:val="00FC6A56"/>
    <w:rsid w:val="00FC7139"/>
    <w:rsid w:val="00FD0B33"/>
    <w:rsid w:val="00FD0E34"/>
    <w:rsid w:val="00FD3390"/>
    <w:rsid w:val="00FD5EE2"/>
    <w:rsid w:val="00FE41FB"/>
    <w:rsid w:val="00FE71F2"/>
    <w:rsid w:val="00FE7DC4"/>
    <w:rsid w:val="00FF08CA"/>
    <w:rsid w:val="00FF268F"/>
    <w:rsid w:val="00FF2A40"/>
    <w:rsid w:val="00FF362C"/>
    <w:rsid w:val="00FF3946"/>
    <w:rsid w:val="00FF3D35"/>
    <w:rsid w:val="00FF4CA3"/>
    <w:rsid w:val="00FF4DDD"/>
    <w:rsid w:val="00FF5B48"/>
    <w:rsid w:val="010D07CB"/>
    <w:rsid w:val="0139517E"/>
    <w:rsid w:val="016571A4"/>
    <w:rsid w:val="01AD49BF"/>
    <w:rsid w:val="020D536F"/>
    <w:rsid w:val="02366ACD"/>
    <w:rsid w:val="029D3C24"/>
    <w:rsid w:val="02D225F6"/>
    <w:rsid w:val="02E657CE"/>
    <w:rsid w:val="03631F92"/>
    <w:rsid w:val="03FF60F9"/>
    <w:rsid w:val="042B3748"/>
    <w:rsid w:val="046B474E"/>
    <w:rsid w:val="04C80903"/>
    <w:rsid w:val="04C94AE8"/>
    <w:rsid w:val="04D000DF"/>
    <w:rsid w:val="05496491"/>
    <w:rsid w:val="056B3115"/>
    <w:rsid w:val="05C22888"/>
    <w:rsid w:val="060921AD"/>
    <w:rsid w:val="060D4698"/>
    <w:rsid w:val="06110302"/>
    <w:rsid w:val="0632004F"/>
    <w:rsid w:val="063F7B4D"/>
    <w:rsid w:val="064E7334"/>
    <w:rsid w:val="06C42ADD"/>
    <w:rsid w:val="07383B44"/>
    <w:rsid w:val="074A119B"/>
    <w:rsid w:val="075D337C"/>
    <w:rsid w:val="076C72BA"/>
    <w:rsid w:val="079A60B4"/>
    <w:rsid w:val="07B641DE"/>
    <w:rsid w:val="07F32A16"/>
    <w:rsid w:val="07FB2222"/>
    <w:rsid w:val="07FB2CE7"/>
    <w:rsid w:val="082A6C05"/>
    <w:rsid w:val="084734F3"/>
    <w:rsid w:val="088A07B8"/>
    <w:rsid w:val="08C17CB5"/>
    <w:rsid w:val="08D366E1"/>
    <w:rsid w:val="08EE6B0D"/>
    <w:rsid w:val="08FB190F"/>
    <w:rsid w:val="091C3D6C"/>
    <w:rsid w:val="09357507"/>
    <w:rsid w:val="09585D49"/>
    <w:rsid w:val="097E3FEF"/>
    <w:rsid w:val="099B0294"/>
    <w:rsid w:val="0A2E5BC4"/>
    <w:rsid w:val="0A6576A8"/>
    <w:rsid w:val="0A6758E2"/>
    <w:rsid w:val="0AA2487E"/>
    <w:rsid w:val="0ABA2D7D"/>
    <w:rsid w:val="0ABC1B74"/>
    <w:rsid w:val="0B4D12AF"/>
    <w:rsid w:val="0B9D074C"/>
    <w:rsid w:val="0BB9314C"/>
    <w:rsid w:val="0BB972A8"/>
    <w:rsid w:val="0BBE689D"/>
    <w:rsid w:val="0C09618F"/>
    <w:rsid w:val="0C4A00D1"/>
    <w:rsid w:val="0C5A6DF9"/>
    <w:rsid w:val="0C7F2397"/>
    <w:rsid w:val="0D4D4155"/>
    <w:rsid w:val="0D5F538C"/>
    <w:rsid w:val="0DD36CE0"/>
    <w:rsid w:val="0DFA276D"/>
    <w:rsid w:val="0E2B2AF9"/>
    <w:rsid w:val="0EA5443B"/>
    <w:rsid w:val="0EB74D33"/>
    <w:rsid w:val="0FAA52BF"/>
    <w:rsid w:val="0FC15C6A"/>
    <w:rsid w:val="0FD542FC"/>
    <w:rsid w:val="100249C4"/>
    <w:rsid w:val="102D3B64"/>
    <w:rsid w:val="104457BF"/>
    <w:rsid w:val="110C6952"/>
    <w:rsid w:val="114833C4"/>
    <w:rsid w:val="11605E5E"/>
    <w:rsid w:val="11731701"/>
    <w:rsid w:val="11AB3E0C"/>
    <w:rsid w:val="11B91E4A"/>
    <w:rsid w:val="11EB7CC0"/>
    <w:rsid w:val="12255CD4"/>
    <w:rsid w:val="123108F6"/>
    <w:rsid w:val="123F687E"/>
    <w:rsid w:val="126D095A"/>
    <w:rsid w:val="12CD1773"/>
    <w:rsid w:val="12FB6C31"/>
    <w:rsid w:val="133A57C4"/>
    <w:rsid w:val="135D4DFE"/>
    <w:rsid w:val="138D071E"/>
    <w:rsid w:val="13BB5974"/>
    <w:rsid w:val="13CF5CB9"/>
    <w:rsid w:val="14203AB5"/>
    <w:rsid w:val="147051D4"/>
    <w:rsid w:val="14B64698"/>
    <w:rsid w:val="14B64D09"/>
    <w:rsid w:val="14D40D90"/>
    <w:rsid w:val="14F36B39"/>
    <w:rsid w:val="150A6991"/>
    <w:rsid w:val="15170009"/>
    <w:rsid w:val="153161DF"/>
    <w:rsid w:val="15A10189"/>
    <w:rsid w:val="15D93BAF"/>
    <w:rsid w:val="15F5049B"/>
    <w:rsid w:val="162110E3"/>
    <w:rsid w:val="168F7B12"/>
    <w:rsid w:val="16B24663"/>
    <w:rsid w:val="16B56CF3"/>
    <w:rsid w:val="16E27729"/>
    <w:rsid w:val="17176A71"/>
    <w:rsid w:val="174400CB"/>
    <w:rsid w:val="17636033"/>
    <w:rsid w:val="17D80CE7"/>
    <w:rsid w:val="18AD6A62"/>
    <w:rsid w:val="18D13844"/>
    <w:rsid w:val="18D36D47"/>
    <w:rsid w:val="18D60797"/>
    <w:rsid w:val="18E726F0"/>
    <w:rsid w:val="1927199B"/>
    <w:rsid w:val="19A47E14"/>
    <w:rsid w:val="19CF7EE4"/>
    <w:rsid w:val="19D331A2"/>
    <w:rsid w:val="19D7327F"/>
    <w:rsid w:val="1A1409D8"/>
    <w:rsid w:val="1A4F411F"/>
    <w:rsid w:val="1A5C3161"/>
    <w:rsid w:val="1A8B45A2"/>
    <w:rsid w:val="1A9F41CC"/>
    <w:rsid w:val="1B2967E0"/>
    <w:rsid w:val="1B6637C1"/>
    <w:rsid w:val="1B7E1260"/>
    <w:rsid w:val="1B843EDC"/>
    <w:rsid w:val="1BA85506"/>
    <w:rsid w:val="1C4053AD"/>
    <w:rsid w:val="1CB020E7"/>
    <w:rsid w:val="1D235D75"/>
    <w:rsid w:val="1D5F29C4"/>
    <w:rsid w:val="1D74613C"/>
    <w:rsid w:val="1DC37D43"/>
    <w:rsid w:val="1DD41F50"/>
    <w:rsid w:val="1E133467"/>
    <w:rsid w:val="1E2120D6"/>
    <w:rsid w:val="1E696FE5"/>
    <w:rsid w:val="1EA35AC9"/>
    <w:rsid w:val="1EB8771C"/>
    <w:rsid w:val="1EE66DAC"/>
    <w:rsid w:val="1F0C367F"/>
    <w:rsid w:val="1F1C2B70"/>
    <w:rsid w:val="1F5644EA"/>
    <w:rsid w:val="1F8B2CE2"/>
    <w:rsid w:val="1F8F03D5"/>
    <w:rsid w:val="1FFC2F87"/>
    <w:rsid w:val="20800657"/>
    <w:rsid w:val="20CC2BA0"/>
    <w:rsid w:val="21533AB6"/>
    <w:rsid w:val="21AC4463"/>
    <w:rsid w:val="21B5599C"/>
    <w:rsid w:val="21B647AC"/>
    <w:rsid w:val="21D952F2"/>
    <w:rsid w:val="22105316"/>
    <w:rsid w:val="22365303"/>
    <w:rsid w:val="22572E93"/>
    <w:rsid w:val="225B4763"/>
    <w:rsid w:val="228D1FBC"/>
    <w:rsid w:val="22C207E1"/>
    <w:rsid w:val="23135D00"/>
    <w:rsid w:val="23393FF6"/>
    <w:rsid w:val="235E7E8C"/>
    <w:rsid w:val="23B27A27"/>
    <w:rsid w:val="23EE4181"/>
    <w:rsid w:val="240750AB"/>
    <w:rsid w:val="243046A5"/>
    <w:rsid w:val="24362E45"/>
    <w:rsid w:val="2438587A"/>
    <w:rsid w:val="245D1EC8"/>
    <w:rsid w:val="24664031"/>
    <w:rsid w:val="24C97368"/>
    <w:rsid w:val="24CF4AF4"/>
    <w:rsid w:val="24F924A3"/>
    <w:rsid w:val="25053D7D"/>
    <w:rsid w:val="25333340"/>
    <w:rsid w:val="2621539B"/>
    <w:rsid w:val="262E41C8"/>
    <w:rsid w:val="268F65F0"/>
    <w:rsid w:val="269A17E1"/>
    <w:rsid w:val="26EC5D68"/>
    <w:rsid w:val="27773420"/>
    <w:rsid w:val="277C58FD"/>
    <w:rsid w:val="27AC5523"/>
    <w:rsid w:val="27FF34BF"/>
    <w:rsid w:val="280755BB"/>
    <w:rsid w:val="28330217"/>
    <w:rsid w:val="28435D26"/>
    <w:rsid w:val="2848378A"/>
    <w:rsid w:val="28A71D70"/>
    <w:rsid w:val="28F30113"/>
    <w:rsid w:val="29025F8B"/>
    <w:rsid w:val="29725241"/>
    <w:rsid w:val="29FA09F1"/>
    <w:rsid w:val="2A391AB9"/>
    <w:rsid w:val="2A6E5C87"/>
    <w:rsid w:val="2A9C3B2A"/>
    <w:rsid w:val="2B7D1DA8"/>
    <w:rsid w:val="2B9C641C"/>
    <w:rsid w:val="2C177AC2"/>
    <w:rsid w:val="2C4743DA"/>
    <w:rsid w:val="2C647BF3"/>
    <w:rsid w:val="2CA91A51"/>
    <w:rsid w:val="2CC9360B"/>
    <w:rsid w:val="2CED7D66"/>
    <w:rsid w:val="2D063F66"/>
    <w:rsid w:val="2D680B8A"/>
    <w:rsid w:val="2D7F355F"/>
    <w:rsid w:val="2DAE6F42"/>
    <w:rsid w:val="2DB72FF9"/>
    <w:rsid w:val="2E814D9D"/>
    <w:rsid w:val="2EDA20B7"/>
    <w:rsid w:val="2F18333B"/>
    <w:rsid w:val="2F2A406E"/>
    <w:rsid w:val="2F6973D6"/>
    <w:rsid w:val="2FBC4A73"/>
    <w:rsid w:val="2FEB39C4"/>
    <w:rsid w:val="305E65C1"/>
    <w:rsid w:val="30BD3668"/>
    <w:rsid w:val="30D41EAC"/>
    <w:rsid w:val="315C2682"/>
    <w:rsid w:val="31CE2FF8"/>
    <w:rsid w:val="31EE7B5A"/>
    <w:rsid w:val="322A6F41"/>
    <w:rsid w:val="326A4C5E"/>
    <w:rsid w:val="333F2BE4"/>
    <w:rsid w:val="335566A6"/>
    <w:rsid w:val="335D0A66"/>
    <w:rsid w:val="33875EDB"/>
    <w:rsid w:val="33C603C6"/>
    <w:rsid w:val="33EF3043"/>
    <w:rsid w:val="33F267D5"/>
    <w:rsid w:val="34336A03"/>
    <w:rsid w:val="3439473C"/>
    <w:rsid w:val="345E6AA9"/>
    <w:rsid w:val="35056840"/>
    <w:rsid w:val="354F4CB5"/>
    <w:rsid w:val="35A267DC"/>
    <w:rsid w:val="35A959AD"/>
    <w:rsid w:val="35AA111A"/>
    <w:rsid w:val="35C422B2"/>
    <w:rsid w:val="35F67686"/>
    <w:rsid w:val="36D11203"/>
    <w:rsid w:val="36F222DA"/>
    <w:rsid w:val="370F6463"/>
    <w:rsid w:val="373E6FB2"/>
    <w:rsid w:val="37450FB3"/>
    <w:rsid w:val="37543CF6"/>
    <w:rsid w:val="376A27F0"/>
    <w:rsid w:val="37AD12E1"/>
    <w:rsid w:val="37E6025D"/>
    <w:rsid w:val="37F932A2"/>
    <w:rsid w:val="38977040"/>
    <w:rsid w:val="38C853B2"/>
    <w:rsid w:val="38F45E94"/>
    <w:rsid w:val="38FE486E"/>
    <w:rsid w:val="390F7F1B"/>
    <w:rsid w:val="39346419"/>
    <w:rsid w:val="395367A5"/>
    <w:rsid w:val="396B22BB"/>
    <w:rsid w:val="39D92613"/>
    <w:rsid w:val="39E8726B"/>
    <w:rsid w:val="3A433C32"/>
    <w:rsid w:val="3AC3050F"/>
    <w:rsid w:val="3B1A3D24"/>
    <w:rsid w:val="3B314F27"/>
    <w:rsid w:val="3B465D0F"/>
    <w:rsid w:val="3B527F9E"/>
    <w:rsid w:val="3B9D4D98"/>
    <w:rsid w:val="3C0C5591"/>
    <w:rsid w:val="3C284718"/>
    <w:rsid w:val="3C6F7834"/>
    <w:rsid w:val="3C896A82"/>
    <w:rsid w:val="3CA54D35"/>
    <w:rsid w:val="3CBE2B95"/>
    <w:rsid w:val="3D293711"/>
    <w:rsid w:val="3D4D03B3"/>
    <w:rsid w:val="3D864372"/>
    <w:rsid w:val="3D9A50E6"/>
    <w:rsid w:val="3DB91DD0"/>
    <w:rsid w:val="3DCC4CE8"/>
    <w:rsid w:val="3DF33233"/>
    <w:rsid w:val="3E0C2AD8"/>
    <w:rsid w:val="3E2701C4"/>
    <w:rsid w:val="3E2A7545"/>
    <w:rsid w:val="3E513858"/>
    <w:rsid w:val="3EA1464B"/>
    <w:rsid w:val="3EBB51FB"/>
    <w:rsid w:val="3EC84510"/>
    <w:rsid w:val="3EFE30A5"/>
    <w:rsid w:val="3F0E4601"/>
    <w:rsid w:val="3F295926"/>
    <w:rsid w:val="3F602A63"/>
    <w:rsid w:val="3F9B4BA2"/>
    <w:rsid w:val="40C05100"/>
    <w:rsid w:val="411B1107"/>
    <w:rsid w:val="412A4FAE"/>
    <w:rsid w:val="4154383A"/>
    <w:rsid w:val="419B675D"/>
    <w:rsid w:val="41A05EB7"/>
    <w:rsid w:val="41BE5A9F"/>
    <w:rsid w:val="41CE5702"/>
    <w:rsid w:val="427500C5"/>
    <w:rsid w:val="427D47DF"/>
    <w:rsid w:val="432272E2"/>
    <w:rsid w:val="432B00B2"/>
    <w:rsid w:val="433D6BDA"/>
    <w:rsid w:val="434B458B"/>
    <w:rsid w:val="44023A5A"/>
    <w:rsid w:val="443B4E72"/>
    <w:rsid w:val="44C521E4"/>
    <w:rsid w:val="44D757DE"/>
    <w:rsid w:val="44F77233"/>
    <w:rsid w:val="44FD0CFE"/>
    <w:rsid w:val="44FE0DBC"/>
    <w:rsid w:val="4507569D"/>
    <w:rsid w:val="450E1745"/>
    <w:rsid w:val="45352FF0"/>
    <w:rsid w:val="453A70DD"/>
    <w:rsid w:val="454650A4"/>
    <w:rsid w:val="45546485"/>
    <w:rsid w:val="45E5459E"/>
    <w:rsid w:val="45EE09DB"/>
    <w:rsid w:val="46190610"/>
    <w:rsid w:val="46716E42"/>
    <w:rsid w:val="467632AF"/>
    <w:rsid w:val="46B413F0"/>
    <w:rsid w:val="46B93B7E"/>
    <w:rsid w:val="46D7669C"/>
    <w:rsid w:val="46EC3788"/>
    <w:rsid w:val="47310E45"/>
    <w:rsid w:val="4752380F"/>
    <w:rsid w:val="475F4629"/>
    <w:rsid w:val="4798623D"/>
    <w:rsid w:val="47B2212A"/>
    <w:rsid w:val="48185B57"/>
    <w:rsid w:val="48AA04B7"/>
    <w:rsid w:val="48C447EC"/>
    <w:rsid w:val="48D51F31"/>
    <w:rsid w:val="48D7533E"/>
    <w:rsid w:val="490460DA"/>
    <w:rsid w:val="496D3C01"/>
    <w:rsid w:val="49D93233"/>
    <w:rsid w:val="49FC231B"/>
    <w:rsid w:val="4A1B4BF8"/>
    <w:rsid w:val="4A8B1D58"/>
    <w:rsid w:val="4AB878B3"/>
    <w:rsid w:val="4ACB38FA"/>
    <w:rsid w:val="4AF76C75"/>
    <w:rsid w:val="4B1C1772"/>
    <w:rsid w:val="4B54348C"/>
    <w:rsid w:val="4BBC17AA"/>
    <w:rsid w:val="4BC32686"/>
    <w:rsid w:val="4BCD0A09"/>
    <w:rsid w:val="4C0D4CCC"/>
    <w:rsid w:val="4C207BF0"/>
    <w:rsid w:val="4C2C0B74"/>
    <w:rsid w:val="4C5C5856"/>
    <w:rsid w:val="4CF36B9F"/>
    <w:rsid w:val="4CF4346A"/>
    <w:rsid w:val="4DD208BB"/>
    <w:rsid w:val="4DDD2F8D"/>
    <w:rsid w:val="4DE83386"/>
    <w:rsid w:val="4DFE6931"/>
    <w:rsid w:val="4E2826B9"/>
    <w:rsid w:val="4E330771"/>
    <w:rsid w:val="4E52248E"/>
    <w:rsid w:val="4ED84C6A"/>
    <w:rsid w:val="4F46621E"/>
    <w:rsid w:val="4FB236E3"/>
    <w:rsid w:val="4FCC3F5E"/>
    <w:rsid w:val="500D6AEC"/>
    <w:rsid w:val="50547D4C"/>
    <w:rsid w:val="50904873"/>
    <w:rsid w:val="50D36CAA"/>
    <w:rsid w:val="50F22F86"/>
    <w:rsid w:val="50F413DD"/>
    <w:rsid w:val="50F939FF"/>
    <w:rsid w:val="510F2A0C"/>
    <w:rsid w:val="511303EC"/>
    <w:rsid w:val="512F56FD"/>
    <w:rsid w:val="51486C69"/>
    <w:rsid w:val="51895639"/>
    <w:rsid w:val="52827BEA"/>
    <w:rsid w:val="52AA2150"/>
    <w:rsid w:val="52AE52B6"/>
    <w:rsid w:val="52BD5ED2"/>
    <w:rsid w:val="52E93E96"/>
    <w:rsid w:val="534D1C62"/>
    <w:rsid w:val="53A82F50"/>
    <w:rsid w:val="53DB3C0A"/>
    <w:rsid w:val="53EC1EE0"/>
    <w:rsid w:val="53EDE683"/>
    <w:rsid w:val="542F2491"/>
    <w:rsid w:val="543D34E2"/>
    <w:rsid w:val="54871BB6"/>
    <w:rsid w:val="55140E87"/>
    <w:rsid w:val="5531054B"/>
    <w:rsid w:val="55386A59"/>
    <w:rsid w:val="55FD7B51"/>
    <w:rsid w:val="56323D76"/>
    <w:rsid w:val="56AD0617"/>
    <w:rsid w:val="56BB082C"/>
    <w:rsid w:val="56C90585"/>
    <w:rsid w:val="56CE40CF"/>
    <w:rsid w:val="56F77CE9"/>
    <w:rsid w:val="5714224A"/>
    <w:rsid w:val="572D5C52"/>
    <w:rsid w:val="573A3ECB"/>
    <w:rsid w:val="57460AC2"/>
    <w:rsid w:val="574D3BFE"/>
    <w:rsid w:val="574F73D0"/>
    <w:rsid w:val="577C7146"/>
    <w:rsid w:val="57EC7D46"/>
    <w:rsid w:val="580B1EA6"/>
    <w:rsid w:val="583109F9"/>
    <w:rsid w:val="584568EB"/>
    <w:rsid w:val="587725A5"/>
    <w:rsid w:val="58830B0A"/>
    <w:rsid w:val="590645E7"/>
    <w:rsid w:val="5910752F"/>
    <w:rsid w:val="592404B5"/>
    <w:rsid w:val="59356957"/>
    <w:rsid w:val="59373B6B"/>
    <w:rsid w:val="593F47FB"/>
    <w:rsid w:val="593F6A60"/>
    <w:rsid w:val="59723D50"/>
    <w:rsid w:val="597516D3"/>
    <w:rsid w:val="598823F7"/>
    <w:rsid w:val="5A2F59CF"/>
    <w:rsid w:val="5A414A26"/>
    <w:rsid w:val="5A8913F1"/>
    <w:rsid w:val="5A996522"/>
    <w:rsid w:val="5AC36E8F"/>
    <w:rsid w:val="5AD91543"/>
    <w:rsid w:val="5B821531"/>
    <w:rsid w:val="5C6216C4"/>
    <w:rsid w:val="5CDA7564"/>
    <w:rsid w:val="5D0833E6"/>
    <w:rsid w:val="5D273DE0"/>
    <w:rsid w:val="5D6E17E2"/>
    <w:rsid w:val="5D814A1D"/>
    <w:rsid w:val="5D827A03"/>
    <w:rsid w:val="5DD56503"/>
    <w:rsid w:val="5DE50D1C"/>
    <w:rsid w:val="5E553DFC"/>
    <w:rsid w:val="5E653F23"/>
    <w:rsid w:val="5F5D2D5F"/>
    <w:rsid w:val="5F8935CB"/>
    <w:rsid w:val="5FBD1F68"/>
    <w:rsid w:val="5FD12445"/>
    <w:rsid w:val="5FD85180"/>
    <w:rsid w:val="5FD877D2"/>
    <w:rsid w:val="5FDB5B1E"/>
    <w:rsid w:val="5FEE57E5"/>
    <w:rsid w:val="5FEE5D11"/>
    <w:rsid w:val="5FF7A463"/>
    <w:rsid w:val="601123B8"/>
    <w:rsid w:val="604A220D"/>
    <w:rsid w:val="6050401A"/>
    <w:rsid w:val="60952803"/>
    <w:rsid w:val="60AA4D27"/>
    <w:rsid w:val="60AB27A8"/>
    <w:rsid w:val="60B5496E"/>
    <w:rsid w:val="60D1791E"/>
    <w:rsid w:val="60E96A0A"/>
    <w:rsid w:val="60ED695C"/>
    <w:rsid w:val="61CA1733"/>
    <w:rsid w:val="620F48D2"/>
    <w:rsid w:val="62292C19"/>
    <w:rsid w:val="628C5ACD"/>
    <w:rsid w:val="6298624F"/>
    <w:rsid w:val="62D413E5"/>
    <w:rsid w:val="633605A4"/>
    <w:rsid w:val="636D7147"/>
    <w:rsid w:val="63946A57"/>
    <w:rsid w:val="63B32895"/>
    <w:rsid w:val="641050E5"/>
    <w:rsid w:val="64696215"/>
    <w:rsid w:val="65012D22"/>
    <w:rsid w:val="65A477C7"/>
    <w:rsid w:val="65C4570C"/>
    <w:rsid w:val="65CB66B1"/>
    <w:rsid w:val="65EB5843"/>
    <w:rsid w:val="661B1AAF"/>
    <w:rsid w:val="665206AA"/>
    <w:rsid w:val="66565905"/>
    <w:rsid w:val="668D4859"/>
    <w:rsid w:val="66B72457"/>
    <w:rsid w:val="66E126BE"/>
    <w:rsid w:val="66F46080"/>
    <w:rsid w:val="670973D9"/>
    <w:rsid w:val="671228D4"/>
    <w:rsid w:val="673937A0"/>
    <w:rsid w:val="67EA5309"/>
    <w:rsid w:val="680B6057"/>
    <w:rsid w:val="688C4AD7"/>
    <w:rsid w:val="68B81F2A"/>
    <w:rsid w:val="68BE6971"/>
    <w:rsid w:val="68DB7CFF"/>
    <w:rsid w:val="68F7193D"/>
    <w:rsid w:val="69354C58"/>
    <w:rsid w:val="69651C26"/>
    <w:rsid w:val="69772180"/>
    <w:rsid w:val="69F817D1"/>
    <w:rsid w:val="69FA6FF4"/>
    <w:rsid w:val="6A475D56"/>
    <w:rsid w:val="6B1735DC"/>
    <w:rsid w:val="6B2065F0"/>
    <w:rsid w:val="6B3671BB"/>
    <w:rsid w:val="6B71016E"/>
    <w:rsid w:val="6B873576"/>
    <w:rsid w:val="6BE13AD8"/>
    <w:rsid w:val="6C065149"/>
    <w:rsid w:val="6C0A245E"/>
    <w:rsid w:val="6C2B4FF6"/>
    <w:rsid w:val="6C8C15D2"/>
    <w:rsid w:val="6CB8716B"/>
    <w:rsid w:val="6CC51586"/>
    <w:rsid w:val="6D8C4F9B"/>
    <w:rsid w:val="6E390358"/>
    <w:rsid w:val="6E596A39"/>
    <w:rsid w:val="6E9E738B"/>
    <w:rsid w:val="6EC41D3F"/>
    <w:rsid w:val="6ED81E8D"/>
    <w:rsid w:val="6F1A4757"/>
    <w:rsid w:val="6F8255F5"/>
    <w:rsid w:val="6FE902A7"/>
    <w:rsid w:val="6FFE024C"/>
    <w:rsid w:val="701E64D5"/>
    <w:rsid w:val="701F0C4A"/>
    <w:rsid w:val="70251665"/>
    <w:rsid w:val="703A6326"/>
    <w:rsid w:val="704B4AC8"/>
    <w:rsid w:val="70F3227C"/>
    <w:rsid w:val="70FF2DD8"/>
    <w:rsid w:val="711D6CE6"/>
    <w:rsid w:val="713737CC"/>
    <w:rsid w:val="71542E51"/>
    <w:rsid w:val="71BA472F"/>
    <w:rsid w:val="71C965BE"/>
    <w:rsid w:val="71CE3B3A"/>
    <w:rsid w:val="71F67EE7"/>
    <w:rsid w:val="72441736"/>
    <w:rsid w:val="72B34D5B"/>
    <w:rsid w:val="72FC62F7"/>
    <w:rsid w:val="73111570"/>
    <w:rsid w:val="73121DD9"/>
    <w:rsid w:val="733028FA"/>
    <w:rsid w:val="73375C00"/>
    <w:rsid w:val="737D4E3B"/>
    <w:rsid w:val="73AB7C72"/>
    <w:rsid w:val="73D019A9"/>
    <w:rsid w:val="74444A50"/>
    <w:rsid w:val="74447BCC"/>
    <w:rsid w:val="74BA10E5"/>
    <w:rsid w:val="74BA73E6"/>
    <w:rsid w:val="74C276BA"/>
    <w:rsid w:val="752E6F7F"/>
    <w:rsid w:val="754A4ED4"/>
    <w:rsid w:val="75603951"/>
    <w:rsid w:val="75E85633"/>
    <w:rsid w:val="76203FB4"/>
    <w:rsid w:val="763E70DC"/>
    <w:rsid w:val="7672015C"/>
    <w:rsid w:val="769149D4"/>
    <w:rsid w:val="769E207A"/>
    <w:rsid w:val="76F31AA0"/>
    <w:rsid w:val="771F241C"/>
    <w:rsid w:val="774F3D32"/>
    <w:rsid w:val="77630DEE"/>
    <w:rsid w:val="7780039E"/>
    <w:rsid w:val="77CFFAFE"/>
    <w:rsid w:val="781A5112"/>
    <w:rsid w:val="785B2855"/>
    <w:rsid w:val="78656868"/>
    <w:rsid w:val="78B30BF5"/>
    <w:rsid w:val="78C217AF"/>
    <w:rsid w:val="793E3567"/>
    <w:rsid w:val="795F1843"/>
    <w:rsid w:val="79CD59E4"/>
    <w:rsid w:val="7A057D3D"/>
    <w:rsid w:val="7A0B6AF5"/>
    <w:rsid w:val="7AF779A1"/>
    <w:rsid w:val="7B7C1C1B"/>
    <w:rsid w:val="7C1241B8"/>
    <w:rsid w:val="7C374A1C"/>
    <w:rsid w:val="7C521FAC"/>
    <w:rsid w:val="7C6D6946"/>
    <w:rsid w:val="7C725EC9"/>
    <w:rsid w:val="7CA16282"/>
    <w:rsid w:val="7CA9529F"/>
    <w:rsid w:val="7CDFBB6E"/>
    <w:rsid w:val="7CFF67CA"/>
    <w:rsid w:val="7D541AAE"/>
    <w:rsid w:val="7D6C0387"/>
    <w:rsid w:val="7D6D1207"/>
    <w:rsid w:val="7DA378D0"/>
    <w:rsid w:val="7DD4481F"/>
    <w:rsid w:val="7E1E4FD9"/>
    <w:rsid w:val="7EBB44F8"/>
    <w:rsid w:val="7EC31904"/>
    <w:rsid w:val="7EC37706"/>
    <w:rsid w:val="7ED3411D"/>
    <w:rsid w:val="7EE23A83"/>
    <w:rsid w:val="7EFFFFF2"/>
    <w:rsid w:val="7F167C44"/>
    <w:rsid w:val="7FA80C7D"/>
    <w:rsid w:val="7FB82529"/>
    <w:rsid w:val="7FC01BA7"/>
    <w:rsid w:val="7FDB1C5C"/>
    <w:rsid w:val="7FDF3CF0"/>
    <w:rsid w:val="9FAF54A1"/>
    <w:rsid w:val="A77BF09A"/>
    <w:rsid w:val="EDFA2478"/>
    <w:rsid w:val="FAD30A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2"/>
    <w:qFormat/>
    <w:uiPriority w:val="0"/>
    <w:pPr>
      <w:keepNext/>
      <w:spacing w:line="240" w:lineRule="exact"/>
      <w:jc w:val="center"/>
      <w:outlineLvl w:val="1"/>
    </w:pPr>
    <w:rPr>
      <w:sz w:val="28"/>
    </w:rPr>
  </w:style>
  <w:style w:type="paragraph" w:styleId="4">
    <w:name w:val="heading 3"/>
    <w:basedOn w:val="1"/>
    <w:next w:val="1"/>
    <w:link w:val="53"/>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6">
    <w:name w:val="heading 5"/>
    <w:basedOn w:val="1"/>
    <w:next w:val="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7">
    <w:name w:val="Normal Indent"/>
    <w:basedOn w:val="1"/>
    <w:link w:val="54"/>
    <w:qFormat/>
    <w:uiPriority w:val="0"/>
    <w:pPr>
      <w:ind w:firstLine="420"/>
    </w:pPr>
    <w:rPr>
      <w:szCs w:val="20"/>
    </w:rPr>
  </w:style>
  <w:style w:type="paragraph" w:styleId="12">
    <w:name w:val="List Number 2"/>
    <w:basedOn w:val="1"/>
    <w:qFormat/>
    <w:uiPriority w:val="0"/>
    <w:pPr>
      <w:tabs>
        <w:tab w:val="left" w:pos="780"/>
      </w:tabs>
      <w:ind w:left="780" w:leftChars="200" w:hanging="360" w:hangingChars="200"/>
    </w:p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55"/>
    <w:qFormat/>
    <w:uiPriority w:val="99"/>
    <w:pPr>
      <w:shd w:val="clear" w:color="auto" w:fill="000080"/>
    </w:pPr>
  </w:style>
  <w:style w:type="paragraph" w:styleId="16">
    <w:name w:val="toa heading"/>
    <w:basedOn w:val="1"/>
    <w:next w:val="1"/>
    <w:unhideWhenUsed/>
    <w:qFormat/>
    <w:uiPriority w:val="99"/>
    <w:pPr>
      <w:spacing w:before="120"/>
    </w:pPr>
    <w:rPr>
      <w:rFonts w:ascii="Arial" w:hAnsi="Arial" w:cs="Arial"/>
      <w:sz w:val="24"/>
    </w:rPr>
  </w:style>
  <w:style w:type="paragraph" w:styleId="17">
    <w:name w:val="annotation text"/>
    <w:basedOn w:val="1"/>
    <w:link w:val="56"/>
    <w:qFormat/>
    <w:uiPriority w:val="0"/>
    <w:pPr>
      <w:jc w:val="left"/>
    </w:pPr>
    <w:rPr>
      <w:rFonts w:ascii="宋体" w:hAnsi="Courier New"/>
      <w:szCs w:val="20"/>
    </w:rPr>
  </w:style>
  <w:style w:type="paragraph" w:styleId="18">
    <w:name w:val="Body Text 3"/>
    <w:basedOn w:val="1"/>
    <w:qFormat/>
    <w:uiPriority w:val="0"/>
    <w:pPr>
      <w:spacing w:line="500" w:lineRule="exact"/>
    </w:pPr>
    <w:rPr>
      <w:b/>
      <w:bCs/>
      <w:sz w:val="24"/>
    </w:rPr>
  </w:style>
  <w:style w:type="paragraph" w:styleId="19">
    <w:name w:val="Body Text"/>
    <w:basedOn w:val="1"/>
    <w:qFormat/>
    <w:uiPriority w:val="0"/>
    <w:pPr>
      <w:spacing w:line="380" w:lineRule="exact"/>
    </w:pPr>
    <w:rPr>
      <w:sz w:val="24"/>
    </w:rPr>
  </w:style>
  <w:style w:type="paragraph" w:styleId="20">
    <w:name w:val="Body Text Indent"/>
    <w:basedOn w:val="1"/>
    <w:link w:val="57"/>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Plain Text"/>
    <w:basedOn w:val="1"/>
    <w:next w:val="5"/>
    <w:link w:val="58"/>
    <w:qFormat/>
    <w:uiPriority w:val="99"/>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qFormat/>
    <w:uiPriority w:val="0"/>
    <w:pPr>
      <w:ind w:firstLine="630"/>
    </w:pPr>
    <w:rPr>
      <w:sz w:val="32"/>
      <w:szCs w:val="20"/>
    </w:rPr>
  </w:style>
  <w:style w:type="paragraph" w:styleId="26">
    <w:name w:val="Balloon Text"/>
    <w:basedOn w:val="1"/>
    <w:qFormat/>
    <w:uiPriority w:val="0"/>
    <w:rPr>
      <w:sz w:val="18"/>
      <w:szCs w:val="18"/>
    </w:rPr>
  </w:style>
  <w:style w:type="paragraph" w:styleId="27">
    <w:name w:val="footer"/>
    <w:basedOn w:val="1"/>
    <w:link w:val="59"/>
    <w:qFormat/>
    <w:uiPriority w:val="99"/>
    <w:pPr>
      <w:tabs>
        <w:tab w:val="center" w:pos="4153"/>
        <w:tab w:val="right" w:pos="8306"/>
      </w:tabs>
      <w:snapToGrid w:val="0"/>
      <w:jc w:val="left"/>
    </w:pPr>
    <w:rPr>
      <w:sz w:val="18"/>
      <w:szCs w:val="18"/>
    </w:rPr>
  </w:style>
  <w:style w:type="paragraph" w:styleId="28">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628"/>
      </w:tabs>
      <w:ind w:left="420" w:firstLine="120"/>
      <w:jc w:val="left"/>
    </w:pPr>
    <w:rPr>
      <w:smallCaps/>
      <w:sz w:val="20"/>
      <w:szCs w:val="20"/>
    </w:rPr>
  </w:style>
  <w:style w:type="paragraph" w:styleId="33">
    <w:name w:val="Body Text 2"/>
    <w:basedOn w:val="1"/>
    <w:qFormat/>
    <w:uiPriority w:val="0"/>
    <w:pPr>
      <w:spacing w:after="120" w:line="480" w:lineRule="auto"/>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qFormat/>
    <w:uiPriority w:val="0"/>
    <w:pPr>
      <w:spacing w:line="400" w:lineRule="exact"/>
      <w:ind w:firstLine="420" w:firstLineChars="200"/>
    </w:pPr>
    <w:rPr>
      <w:rFonts w:ascii="宋体" w:hAnsi="Courier New"/>
      <w:b/>
      <w:szCs w:val="20"/>
    </w:rPr>
  </w:style>
  <w:style w:type="paragraph" w:styleId="37">
    <w:name w:val="Title"/>
    <w:basedOn w:val="1"/>
    <w:qFormat/>
    <w:uiPriority w:val="0"/>
    <w:pPr>
      <w:jc w:val="center"/>
    </w:pPr>
    <w:rPr>
      <w:sz w:val="30"/>
    </w:rPr>
  </w:style>
  <w:style w:type="paragraph" w:styleId="38">
    <w:name w:val="annotation subject"/>
    <w:basedOn w:val="17"/>
    <w:next w:val="17"/>
    <w:link w:val="61"/>
    <w:unhideWhenUsed/>
    <w:qFormat/>
    <w:uiPriority w:val="0"/>
    <w:rPr>
      <w:b/>
      <w:bCs/>
      <w:szCs w:val="24"/>
    </w:rPr>
  </w:style>
  <w:style w:type="paragraph" w:styleId="39">
    <w:name w:val="Body Text First Indent"/>
    <w:basedOn w:val="19"/>
    <w:next w:val="1"/>
    <w:link w:val="62"/>
    <w:qFormat/>
    <w:uiPriority w:val="0"/>
    <w:pPr>
      <w:spacing w:after="120" w:line="240" w:lineRule="auto"/>
      <w:ind w:firstLine="420" w:firstLineChars="100"/>
    </w:pPr>
    <w:rPr>
      <w:sz w:val="21"/>
    </w:rPr>
  </w:style>
  <w:style w:type="paragraph" w:styleId="40">
    <w:name w:val="Body Text First Indent 2"/>
    <w:basedOn w:val="20"/>
    <w:unhideWhenUsed/>
    <w:qFormat/>
    <w:uiPriority w:val="99"/>
    <w:pPr>
      <w:ind w:firstLine="420" w:firstLineChars="200"/>
    </w:p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color w:val="800080"/>
      <w:u w:val="single"/>
    </w:rPr>
  </w:style>
  <w:style w:type="character" w:styleId="47">
    <w:name w:val="Emphasis"/>
    <w:qFormat/>
    <w:uiPriority w:val="0"/>
    <w:rPr>
      <w:color w:val="CC0033"/>
    </w:rPr>
  </w:style>
  <w:style w:type="character" w:styleId="48">
    <w:name w:val="Hyperlink"/>
    <w:qFormat/>
    <w:uiPriority w:val="99"/>
    <w:rPr>
      <w:color w:val="0000FF"/>
      <w:u w:val="single"/>
    </w:rPr>
  </w:style>
  <w:style w:type="character" w:styleId="49">
    <w:name w:val="HTML Code"/>
    <w:qFormat/>
    <w:uiPriority w:val="0"/>
    <w:rPr>
      <w:rFonts w:ascii="宋体" w:hAnsi="宋体" w:eastAsia="宋体" w:cs="宋体"/>
      <w:sz w:val="24"/>
      <w:szCs w:val="24"/>
    </w:rPr>
  </w:style>
  <w:style w:type="character" w:styleId="50">
    <w:name w:val="annotation reference"/>
    <w:qFormat/>
    <w:uiPriority w:val="0"/>
    <w:rPr>
      <w:sz w:val="21"/>
      <w:szCs w:val="21"/>
    </w:rPr>
  </w:style>
  <w:style w:type="character" w:customStyle="1" w:styleId="51">
    <w:name w:val="标题 1 字符"/>
    <w:link w:val="2"/>
    <w:qFormat/>
    <w:uiPriority w:val="0"/>
    <w:rPr>
      <w:b/>
      <w:bCs/>
      <w:kern w:val="44"/>
      <w:sz w:val="44"/>
      <w:szCs w:val="44"/>
    </w:rPr>
  </w:style>
  <w:style w:type="character" w:customStyle="1" w:styleId="52">
    <w:name w:val="标题 2 字符"/>
    <w:link w:val="3"/>
    <w:qFormat/>
    <w:uiPriority w:val="0"/>
    <w:rPr>
      <w:rFonts w:eastAsia="宋体"/>
      <w:kern w:val="2"/>
      <w:sz w:val="28"/>
      <w:szCs w:val="24"/>
      <w:lang w:val="en-US" w:eastAsia="zh-CN" w:bidi="ar-SA"/>
    </w:rPr>
  </w:style>
  <w:style w:type="character" w:customStyle="1" w:styleId="53">
    <w:name w:val="标题 3 字符"/>
    <w:link w:val="4"/>
    <w:qFormat/>
    <w:uiPriority w:val="0"/>
    <w:rPr>
      <w:b/>
      <w:bCs/>
      <w:kern w:val="2"/>
      <w:sz w:val="32"/>
      <w:szCs w:val="32"/>
    </w:rPr>
  </w:style>
  <w:style w:type="character" w:customStyle="1" w:styleId="54">
    <w:name w:val="正文缩进 字符"/>
    <w:link w:val="7"/>
    <w:qFormat/>
    <w:uiPriority w:val="0"/>
    <w:rPr>
      <w:rFonts w:eastAsia="宋体"/>
      <w:kern w:val="2"/>
      <w:sz w:val="21"/>
      <w:lang w:val="en-US" w:eastAsia="zh-CN" w:bidi="ar-SA"/>
    </w:rPr>
  </w:style>
  <w:style w:type="character" w:customStyle="1" w:styleId="55">
    <w:name w:val="文档结构图 字符"/>
    <w:link w:val="15"/>
    <w:qFormat/>
    <w:uiPriority w:val="99"/>
    <w:rPr>
      <w:kern w:val="2"/>
      <w:sz w:val="21"/>
      <w:szCs w:val="24"/>
      <w:shd w:val="clear" w:color="auto" w:fill="000080"/>
    </w:rPr>
  </w:style>
  <w:style w:type="character" w:customStyle="1" w:styleId="56">
    <w:name w:val="批注文字 字符"/>
    <w:link w:val="17"/>
    <w:qFormat/>
    <w:uiPriority w:val="0"/>
    <w:rPr>
      <w:rFonts w:ascii="宋体" w:hAnsi="Courier New" w:eastAsia="宋体"/>
      <w:kern w:val="2"/>
      <w:sz w:val="21"/>
      <w:lang w:val="en-US" w:eastAsia="zh-CN" w:bidi="ar-SA"/>
    </w:rPr>
  </w:style>
  <w:style w:type="character" w:customStyle="1" w:styleId="57">
    <w:name w:val="正文文本缩进 字符"/>
    <w:link w:val="20"/>
    <w:qFormat/>
    <w:locked/>
    <w:uiPriority w:val="0"/>
    <w:rPr>
      <w:rFonts w:ascii="仿宋_GB2312" w:eastAsia="仿宋_GB2312"/>
      <w:kern w:val="2"/>
      <w:sz w:val="32"/>
    </w:rPr>
  </w:style>
  <w:style w:type="character" w:customStyle="1" w:styleId="58">
    <w:name w:val="纯文本 字符"/>
    <w:link w:val="23"/>
    <w:qFormat/>
    <w:uiPriority w:val="99"/>
    <w:rPr>
      <w:rFonts w:ascii="宋体" w:hAnsi="Courier New" w:eastAsia="宋体" w:cs="Courier New"/>
      <w:kern w:val="2"/>
      <w:sz w:val="21"/>
      <w:szCs w:val="21"/>
      <w:lang w:val="en-US" w:eastAsia="zh-CN" w:bidi="ar-SA"/>
    </w:rPr>
  </w:style>
  <w:style w:type="character" w:customStyle="1" w:styleId="59">
    <w:name w:val="页脚 字符"/>
    <w:link w:val="27"/>
    <w:qFormat/>
    <w:uiPriority w:val="99"/>
    <w:rPr>
      <w:kern w:val="2"/>
      <w:sz w:val="18"/>
      <w:szCs w:val="18"/>
    </w:rPr>
  </w:style>
  <w:style w:type="character" w:customStyle="1" w:styleId="60">
    <w:name w:val="页眉 字符"/>
    <w:link w:val="28"/>
    <w:qFormat/>
    <w:uiPriority w:val="0"/>
    <w:rPr>
      <w:rFonts w:eastAsia="宋体"/>
      <w:kern w:val="2"/>
      <w:sz w:val="18"/>
      <w:szCs w:val="18"/>
      <w:lang w:val="en-US" w:eastAsia="zh-CN" w:bidi="ar-SA"/>
    </w:rPr>
  </w:style>
  <w:style w:type="character" w:customStyle="1" w:styleId="61">
    <w:name w:val="批注主题 字符"/>
    <w:link w:val="38"/>
    <w:semiHidden/>
    <w:qFormat/>
    <w:uiPriority w:val="0"/>
    <w:rPr>
      <w:rFonts w:ascii="宋体" w:hAnsi="Courier New" w:eastAsia="宋体"/>
      <w:b/>
      <w:bCs/>
      <w:kern w:val="2"/>
      <w:sz w:val="21"/>
      <w:szCs w:val="24"/>
      <w:lang w:val="en-US" w:eastAsia="zh-CN" w:bidi="ar-SA"/>
    </w:rPr>
  </w:style>
  <w:style w:type="character" w:customStyle="1" w:styleId="62">
    <w:name w:val="正文文本首行缩进 字符"/>
    <w:link w:val="39"/>
    <w:qFormat/>
    <w:uiPriority w:val="0"/>
    <w:rPr>
      <w:kern w:val="2"/>
      <w:sz w:val="21"/>
      <w:szCs w:val="24"/>
    </w:rPr>
  </w:style>
  <w:style w:type="character" w:customStyle="1" w:styleId="63">
    <w:name w:val="列出段落 Char1"/>
    <w:link w:val="64"/>
    <w:qFormat/>
    <w:locked/>
    <w:uiPriority w:val="34"/>
    <w:rPr>
      <w:rFonts w:ascii="Calibri" w:hAnsi="Calibri"/>
      <w:kern w:val="2"/>
      <w:sz w:val="21"/>
      <w:szCs w:val="22"/>
    </w:rPr>
  </w:style>
  <w:style w:type="paragraph" w:customStyle="1" w:styleId="64">
    <w:name w:val="List Paragraph1"/>
    <w:basedOn w:val="1"/>
    <w:link w:val="63"/>
    <w:qFormat/>
    <w:uiPriority w:val="34"/>
    <w:pPr>
      <w:ind w:firstLine="420" w:firstLineChars="200"/>
    </w:pPr>
    <w:rPr>
      <w:rFonts w:ascii="Calibri" w:hAnsi="Calibri"/>
      <w:szCs w:val="22"/>
    </w:rPr>
  </w:style>
  <w:style w:type="character" w:customStyle="1" w:styleId="65">
    <w:name w:val="Char Char2"/>
    <w:qFormat/>
    <w:uiPriority w:val="0"/>
    <w:rPr>
      <w:rFonts w:eastAsia="宋体"/>
      <w:b/>
      <w:kern w:val="2"/>
      <w:sz w:val="21"/>
      <w:szCs w:val="24"/>
      <w:lang w:val="en-US" w:eastAsia="zh-CN" w:bidi="ar-SA"/>
    </w:rPr>
  </w:style>
  <w:style w:type="character" w:customStyle="1" w:styleId="66">
    <w:name w:val="hui3"/>
    <w:qFormat/>
    <w:uiPriority w:val="0"/>
    <w:rPr>
      <w:color w:val="333333"/>
    </w:rPr>
  </w:style>
  <w:style w:type="character" w:customStyle="1" w:styleId="67">
    <w:name w:val="列表段落 字符"/>
    <w:link w:val="68"/>
    <w:qFormat/>
    <w:uiPriority w:val="0"/>
    <w:rPr>
      <w:kern w:val="2"/>
      <w:sz w:val="21"/>
      <w:szCs w:val="24"/>
    </w:rPr>
  </w:style>
  <w:style w:type="paragraph" w:styleId="68">
    <w:name w:val="List Paragraph"/>
    <w:basedOn w:val="1"/>
    <w:link w:val="67"/>
    <w:qFormat/>
    <w:uiPriority w:val="0"/>
    <w:pPr>
      <w:ind w:firstLine="420" w:firstLineChars="200"/>
    </w:pPr>
  </w:style>
  <w:style w:type="character" w:customStyle="1" w:styleId="69">
    <w:name w:val="样式2 Char Char"/>
    <w:qFormat/>
    <w:uiPriority w:val="0"/>
    <w:rPr>
      <w:rFonts w:ascii="宋体" w:hAnsi="Courier New" w:eastAsia="宋体"/>
      <w:kern w:val="2"/>
      <w:sz w:val="18"/>
      <w:lang w:val="en-US" w:eastAsia="zh-CN" w:bidi="ar-SA"/>
    </w:rPr>
  </w:style>
  <w:style w:type="character" w:customStyle="1" w:styleId="70">
    <w:name w:val="pro_b-font1"/>
    <w:qFormat/>
    <w:uiPriority w:val="0"/>
    <w:rPr>
      <w:rFonts w:hint="default" w:ascii="Arial" w:hAnsi="Arial" w:cs="Arial"/>
      <w:b/>
      <w:bCs/>
      <w:color w:val="20409A"/>
      <w:sz w:val="23"/>
      <w:szCs w:val="23"/>
    </w:rPr>
  </w:style>
  <w:style w:type="character" w:customStyle="1" w:styleId="71">
    <w:name w:val="style11"/>
    <w:qFormat/>
    <w:uiPriority w:val="0"/>
    <w:rPr>
      <w:color w:val="616161"/>
      <w:sz w:val="18"/>
      <w:szCs w:val="18"/>
    </w:rPr>
  </w:style>
  <w:style w:type="character" w:customStyle="1" w:styleId="72">
    <w:name w:val="zi21"/>
    <w:qFormat/>
    <w:uiPriority w:val="0"/>
    <w:rPr>
      <w:rFonts w:hint="default" w:ascii="Ђˎ̥" w:hAnsi="Ђˎ̥"/>
      <w:b/>
      <w:bCs/>
      <w:color w:val="0099DD"/>
      <w:sz w:val="18"/>
      <w:szCs w:val="18"/>
      <w:u w:val="none"/>
    </w:rPr>
  </w:style>
  <w:style w:type="character" w:customStyle="1" w:styleId="73">
    <w:name w:val="para"/>
    <w:qFormat/>
    <w:uiPriority w:val="0"/>
  </w:style>
  <w:style w:type="character" w:customStyle="1" w:styleId="74">
    <w:name w:val="colorred1"/>
    <w:qFormat/>
    <w:uiPriority w:val="0"/>
    <w:rPr>
      <w:b/>
      <w:bCs/>
      <w:color w:val="CC0000"/>
    </w:rPr>
  </w:style>
  <w:style w:type="character" w:customStyle="1" w:styleId="75">
    <w:name w:val="n10blue1"/>
    <w:qFormat/>
    <w:uiPriority w:val="0"/>
    <w:rPr>
      <w:color w:val="0D4684"/>
      <w:sz w:val="20"/>
      <w:szCs w:val="20"/>
    </w:rPr>
  </w:style>
  <w:style w:type="character" w:customStyle="1" w:styleId="76">
    <w:name w:val="txt-deepblue-12b1"/>
    <w:qFormat/>
    <w:uiPriority w:val="0"/>
    <w:rPr>
      <w:rFonts w:hint="eastAsia" w:ascii="宋体" w:hAnsi="宋体" w:eastAsia="宋体"/>
      <w:b/>
      <w:bCs/>
      <w:color w:val="0157A4"/>
      <w:sz w:val="20"/>
      <w:szCs w:val="20"/>
    </w:rPr>
  </w:style>
  <w:style w:type="character" w:customStyle="1" w:styleId="77">
    <w:name w:val="pinfont1"/>
    <w:qFormat/>
    <w:uiPriority w:val="0"/>
    <w:rPr>
      <w:color w:val="E41D6C"/>
    </w:rPr>
  </w:style>
  <w:style w:type="character" w:customStyle="1" w:styleId="78">
    <w:name w:val="style271"/>
    <w:qFormat/>
    <w:uiPriority w:val="0"/>
    <w:rPr>
      <w:rFonts w:hint="default" w:ascii="Verdana" w:hAnsi="Verdana"/>
      <w:sz w:val="20"/>
      <w:szCs w:val="20"/>
    </w:rPr>
  </w:style>
  <w:style w:type="character" w:customStyle="1" w:styleId="79">
    <w:name w:val="param_td12"/>
    <w:qFormat/>
    <w:uiPriority w:val="0"/>
  </w:style>
  <w:style w:type="character" w:customStyle="1" w:styleId="80">
    <w:name w:val="列出段落 Char"/>
    <w:link w:val="81"/>
    <w:qFormat/>
    <w:locked/>
    <w:uiPriority w:val="0"/>
    <w:rPr>
      <w:szCs w:val="24"/>
      <w:lang w:val="zh-CN"/>
    </w:rPr>
  </w:style>
  <w:style w:type="paragraph" w:customStyle="1" w:styleId="81">
    <w:name w:val="列出段落3"/>
    <w:basedOn w:val="1"/>
    <w:link w:val="80"/>
    <w:qFormat/>
    <w:uiPriority w:val="0"/>
    <w:pPr>
      <w:ind w:firstLine="420" w:firstLineChars="200"/>
    </w:pPr>
    <w:rPr>
      <w:kern w:val="0"/>
      <w:sz w:val="20"/>
      <w:lang w:val="zh-CN"/>
    </w:rPr>
  </w:style>
  <w:style w:type="character" w:customStyle="1" w:styleId="82">
    <w:name w:val="btn-lnk-alignl3"/>
    <w:qFormat/>
    <w:uiPriority w:val="0"/>
  </w:style>
  <w:style w:type="character" w:customStyle="1" w:styleId="83">
    <w:name w:val="fontb5"/>
    <w:qFormat/>
    <w:uiPriority w:val="0"/>
  </w:style>
  <w:style w:type="character" w:customStyle="1" w:styleId="84">
    <w:name w:val="style51"/>
    <w:qFormat/>
    <w:uiPriority w:val="0"/>
    <w:rPr>
      <w:sz w:val="18"/>
      <w:szCs w:val="18"/>
    </w:rPr>
  </w:style>
  <w:style w:type="character" w:customStyle="1" w:styleId="85">
    <w:name w:val="f16b1"/>
    <w:qFormat/>
    <w:uiPriority w:val="0"/>
    <w:rPr>
      <w:b/>
      <w:bCs/>
      <w:color w:val="333333"/>
      <w:sz w:val="24"/>
      <w:szCs w:val="24"/>
    </w:rPr>
  </w:style>
  <w:style w:type="character" w:customStyle="1" w:styleId="86">
    <w:name w:val="style1"/>
    <w:qFormat/>
    <w:uiPriority w:val="0"/>
  </w:style>
  <w:style w:type="character" w:customStyle="1" w:styleId="87">
    <w:name w:val="a5"/>
    <w:qFormat/>
    <w:uiPriority w:val="0"/>
  </w:style>
  <w:style w:type="character" w:customStyle="1" w:styleId="88">
    <w:name w:val="apple-style-span"/>
    <w:qFormat/>
    <w:uiPriority w:val="0"/>
  </w:style>
  <w:style w:type="character" w:customStyle="1" w:styleId="89">
    <w:name w:val="h31"/>
    <w:qFormat/>
    <w:uiPriority w:val="0"/>
    <w:rPr>
      <w:sz w:val="23"/>
      <w:szCs w:val="23"/>
    </w:rPr>
  </w:style>
  <w:style w:type="character" w:customStyle="1" w:styleId="90">
    <w:name w:val="a1801"/>
    <w:qFormat/>
    <w:uiPriority w:val="0"/>
    <w:rPr>
      <w:sz w:val="18"/>
      <w:szCs w:val="18"/>
      <w:u w:val="none"/>
    </w:rPr>
  </w:style>
  <w:style w:type="character" w:customStyle="1" w:styleId="91">
    <w:name w:val="14_black1"/>
    <w:qFormat/>
    <w:uiPriority w:val="0"/>
    <w:rPr>
      <w:color w:val="000000"/>
      <w:sz w:val="21"/>
      <w:szCs w:val="21"/>
    </w:rPr>
  </w:style>
  <w:style w:type="character" w:customStyle="1" w:styleId="92">
    <w:name w:val="font12-blue-bold1"/>
    <w:qFormat/>
    <w:uiPriority w:val="0"/>
    <w:rPr>
      <w:b/>
      <w:bCs/>
      <w:color w:val="0249A5"/>
      <w:sz w:val="18"/>
      <w:szCs w:val="18"/>
      <w:u w:val="none"/>
    </w:rPr>
  </w:style>
  <w:style w:type="character" w:customStyle="1" w:styleId="93">
    <w:name w:val="unnamed11"/>
    <w:qFormat/>
    <w:uiPriority w:val="0"/>
    <w:rPr>
      <w:sz w:val="20"/>
      <w:szCs w:val="20"/>
    </w:rPr>
  </w:style>
  <w:style w:type="character" w:customStyle="1" w:styleId="94">
    <w:name w:val="yelfont1"/>
    <w:qFormat/>
    <w:uiPriority w:val="0"/>
    <w:rPr>
      <w:color w:val="F87D13"/>
    </w:rPr>
  </w:style>
  <w:style w:type="character" w:customStyle="1" w:styleId="95">
    <w:name w:val="product_showh11"/>
    <w:qFormat/>
    <w:uiPriority w:val="0"/>
    <w:rPr>
      <w:b/>
      <w:bCs/>
      <w:color w:val="CC0099"/>
      <w:sz w:val="24"/>
      <w:szCs w:val="24"/>
    </w:rPr>
  </w:style>
  <w:style w:type="character" w:customStyle="1" w:styleId="96">
    <w:name w:val="style6"/>
    <w:qFormat/>
    <w:uiPriority w:val="0"/>
  </w:style>
  <w:style w:type="character" w:customStyle="1" w:styleId="97">
    <w:name w:val="1ji Char"/>
    <w:link w:val="98"/>
    <w:qFormat/>
    <w:uiPriority w:val="0"/>
    <w:rPr>
      <w:rFonts w:ascii="宋体" w:hAnsi="宋体" w:eastAsia="宋体"/>
      <w:b/>
      <w:bCs/>
      <w:kern w:val="44"/>
      <w:sz w:val="36"/>
      <w:szCs w:val="44"/>
      <w:lang w:val="en-US" w:eastAsia="zh-CN" w:bidi="ar-SA"/>
    </w:rPr>
  </w:style>
  <w:style w:type="paragraph" w:customStyle="1" w:styleId="98">
    <w:name w:val="1ji"/>
    <w:basedOn w:val="2"/>
    <w:link w:val="97"/>
    <w:qFormat/>
    <w:uiPriority w:val="0"/>
    <w:pPr>
      <w:keepLines w:val="0"/>
      <w:widowControl/>
      <w:spacing w:before="0" w:after="0" w:line="240" w:lineRule="auto"/>
    </w:pPr>
    <w:rPr>
      <w:rFonts w:ascii="宋体" w:hAnsi="宋体"/>
      <w:sz w:val="36"/>
    </w:rPr>
  </w:style>
  <w:style w:type="character" w:customStyle="1" w:styleId="99">
    <w:name w:val="close"/>
    <w:qFormat/>
    <w:uiPriority w:val="0"/>
  </w:style>
  <w:style w:type="character" w:customStyle="1" w:styleId="100">
    <w:name w:val="rightdt"/>
    <w:qFormat/>
    <w:uiPriority w:val="0"/>
  </w:style>
  <w:style w:type="character" w:customStyle="1" w:styleId="101">
    <w:name w:val="ca-31"/>
    <w:qFormat/>
    <w:uiPriority w:val="0"/>
    <w:rPr>
      <w:rFonts w:hint="default" w:ascii="Times New Roman" w:hAnsi="Times New Roman" w:cs="Times New Roman"/>
      <w:sz w:val="21"/>
      <w:szCs w:val="21"/>
    </w:rPr>
  </w:style>
  <w:style w:type="character" w:customStyle="1" w:styleId="102">
    <w:name w:val="纯文本 Char2"/>
    <w:qFormat/>
    <w:uiPriority w:val="0"/>
    <w:rPr>
      <w:rFonts w:ascii="宋体" w:hAnsi="Courier New" w:eastAsia="宋体" w:cs="Courier New"/>
      <w:kern w:val="2"/>
      <w:sz w:val="21"/>
      <w:szCs w:val="21"/>
      <w:lang w:val="en-US" w:eastAsia="zh-CN" w:bidi="ar-SA"/>
    </w:rPr>
  </w:style>
  <w:style w:type="character" w:customStyle="1" w:styleId="103">
    <w:name w:val="正文（绿盟科技） Char"/>
    <w:link w:val="104"/>
    <w:qFormat/>
    <w:uiPriority w:val="0"/>
    <w:rPr>
      <w:rFonts w:ascii="Arial" w:hAnsi="Arial"/>
      <w:sz w:val="21"/>
      <w:szCs w:val="21"/>
      <w:lang w:val="en-US" w:eastAsia="zh-CN" w:bidi="ar-SA"/>
    </w:rPr>
  </w:style>
  <w:style w:type="paragraph" w:customStyle="1" w:styleId="104">
    <w:name w:val="正文（绿盟科技）"/>
    <w:link w:val="103"/>
    <w:qFormat/>
    <w:uiPriority w:val="0"/>
    <w:pPr>
      <w:spacing w:line="300" w:lineRule="auto"/>
    </w:pPr>
    <w:rPr>
      <w:rFonts w:ascii="Arial" w:hAnsi="Arial" w:eastAsia="宋体" w:cs="Times New Roman"/>
      <w:sz w:val="21"/>
      <w:szCs w:val="21"/>
      <w:lang w:val="en-US" w:eastAsia="zh-CN" w:bidi="ar-SA"/>
    </w:rPr>
  </w:style>
  <w:style w:type="character" w:customStyle="1" w:styleId="105">
    <w:name w:val="field1"/>
    <w:qFormat/>
    <w:uiPriority w:val="0"/>
  </w:style>
  <w:style w:type="character" w:customStyle="1" w:styleId="106">
    <w:name w:val="style61"/>
    <w:qFormat/>
    <w:uiPriority w:val="0"/>
    <w:rPr>
      <w:sz w:val="18"/>
      <w:szCs w:val="18"/>
    </w:rPr>
  </w:style>
  <w:style w:type="character" w:customStyle="1" w:styleId="107">
    <w:name w:val="title_emph1"/>
    <w:qFormat/>
    <w:uiPriority w:val="0"/>
    <w:rPr>
      <w:rFonts w:hint="default" w:ascii="Arial" w:hAnsi="Arial" w:cs="Arial"/>
      <w:b/>
      <w:bCs/>
      <w:sz w:val="20"/>
      <w:szCs w:val="20"/>
    </w:rPr>
  </w:style>
  <w:style w:type="character" w:customStyle="1" w:styleId="108">
    <w:name w:val="mark"/>
    <w:qFormat/>
    <w:uiPriority w:val="0"/>
  </w:style>
  <w:style w:type="character" w:customStyle="1" w:styleId="109">
    <w:name w:val="maywed421"/>
    <w:qFormat/>
    <w:uiPriority w:val="0"/>
    <w:rPr>
      <w:color w:val="366FB6"/>
      <w:u w:val="none"/>
    </w:rPr>
  </w:style>
  <w:style w:type="character" w:customStyle="1" w:styleId="110">
    <w:name w:val="huei12b1"/>
    <w:qFormat/>
    <w:uiPriority w:val="0"/>
    <w:rPr>
      <w:b/>
      <w:bCs/>
      <w:color w:val="333333"/>
      <w:sz w:val="24"/>
      <w:szCs w:val="24"/>
    </w:rPr>
  </w:style>
  <w:style w:type="character" w:customStyle="1" w:styleId="111">
    <w:name w:val="3zw"/>
    <w:qFormat/>
    <w:uiPriority w:val="0"/>
  </w:style>
  <w:style w:type="character" w:customStyle="1" w:styleId="112">
    <w:name w:val="标书-正文 Char"/>
    <w:link w:val="113"/>
    <w:qFormat/>
    <w:uiPriority w:val="0"/>
    <w:rPr>
      <w:rFonts w:ascii="Calibri" w:hAnsi="Calibri"/>
      <w:sz w:val="24"/>
    </w:rPr>
  </w:style>
  <w:style w:type="paragraph" w:customStyle="1" w:styleId="113">
    <w:name w:val="标书-正文"/>
    <w:basedOn w:val="1"/>
    <w:link w:val="112"/>
    <w:qFormat/>
    <w:uiPriority w:val="0"/>
    <w:pPr>
      <w:spacing w:line="360" w:lineRule="auto"/>
      <w:ind w:firstLine="480" w:firstLineChars="200"/>
    </w:pPr>
    <w:rPr>
      <w:rFonts w:ascii="Calibri" w:hAnsi="Calibri"/>
      <w:kern w:val="0"/>
      <w:sz w:val="24"/>
      <w:szCs w:val="20"/>
    </w:rPr>
  </w:style>
  <w:style w:type="character" w:customStyle="1" w:styleId="114">
    <w:name w:val="heading"/>
    <w:qFormat/>
    <w:uiPriority w:val="0"/>
  </w:style>
  <w:style w:type="character" w:customStyle="1" w:styleId="115">
    <w:name w:val="f141"/>
    <w:qFormat/>
    <w:uiPriority w:val="0"/>
    <w:rPr>
      <w:sz w:val="21"/>
      <w:szCs w:val="21"/>
    </w:rPr>
  </w:style>
  <w:style w:type="character" w:customStyle="1" w:styleId="116">
    <w:name w:val="访问过的超链接1"/>
    <w:qFormat/>
    <w:uiPriority w:val="0"/>
    <w:rPr>
      <w:color w:val="800080"/>
      <w:u w:val="single"/>
    </w:rPr>
  </w:style>
  <w:style w:type="character" w:customStyle="1" w:styleId="117">
    <w:name w:val="正文 首行缩进:  2 字符 Char"/>
    <w:link w:val="118"/>
    <w:qFormat/>
    <w:uiPriority w:val="0"/>
    <w:rPr>
      <w:rFonts w:eastAsia="宋体" w:cs="宋体"/>
      <w:kern w:val="2"/>
      <w:sz w:val="24"/>
      <w:lang w:val="en-US" w:eastAsia="zh-CN" w:bidi="ar-SA"/>
    </w:rPr>
  </w:style>
  <w:style w:type="paragraph" w:customStyle="1" w:styleId="118">
    <w:name w:val="正文 首行缩进:  2 字符"/>
    <w:basedOn w:val="1"/>
    <w:link w:val="117"/>
    <w:qFormat/>
    <w:uiPriority w:val="0"/>
    <w:pPr>
      <w:spacing w:line="360" w:lineRule="auto"/>
      <w:ind w:firstLine="200" w:firstLineChars="200"/>
    </w:pPr>
    <w:rPr>
      <w:rFonts w:cs="宋体"/>
      <w:sz w:val="24"/>
      <w:szCs w:val="20"/>
    </w:rPr>
  </w:style>
  <w:style w:type="character" w:customStyle="1" w:styleId="119">
    <w:name w:val="text11"/>
    <w:qFormat/>
    <w:uiPriority w:val="0"/>
    <w:rPr>
      <w:rFonts w:hint="default" w:ascii="Verdana" w:hAnsi="Verdana"/>
      <w:color w:val="4E4E4E"/>
      <w:sz w:val="18"/>
      <w:szCs w:val="18"/>
    </w:rPr>
  </w:style>
  <w:style w:type="character" w:customStyle="1" w:styleId="120">
    <w:name w:val="glossaryitem"/>
    <w:qFormat/>
    <w:uiPriority w:val="0"/>
    <w:rPr>
      <w:u w:val="none"/>
    </w:rPr>
  </w:style>
  <w:style w:type="character" w:customStyle="1" w:styleId="121">
    <w:name w:val="heihou"/>
    <w:qFormat/>
    <w:uiPriority w:val="0"/>
  </w:style>
  <w:style w:type="character" w:customStyle="1" w:styleId="122">
    <w:name w:val="表内文字 Char"/>
    <w:link w:val="123"/>
    <w:qFormat/>
    <w:uiPriority w:val="0"/>
    <w:rPr>
      <w:rFonts w:ascii="仿宋_GB2312" w:hAnsi="宋体" w:eastAsia="仿宋_GB2312"/>
      <w:b/>
      <w:color w:val="000000"/>
      <w:kern w:val="2"/>
      <w:sz w:val="32"/>
      <w:szCs w:val="32"/>
      <w:lang w:val="en-US" w:eastAsia="zh-CN" w:bidi="ar-SA"/>
    </w:rPr>
  </w:style>
  <w:style w:type="paragraph" w:customStyle="1" w:styleId="123">
    <w:name w:val="表内文字"/>
    <w:basedOn w:val="1"/>
    <w:link w:val="122"/>
    <w:qFormat/>
    <w:uiPriority w:val="0"/>
    <w:pPr>
      <w:snapToGrid w:val="0"/>
      <w:spacing w:before="50" w:after="50"/>
      <w:jc w:val="center"/>
    </w:pPr>
    <w:rPr>
      <w:rFonts w:ascii="仿宋_GB2312" w:hAnsi="宋体" w:eastAsia="仿宋_GB2312"/>
      <w:b/>
      <w:color w:val="000000"/>
      <w:sz w:val="32"/>
      <w:szCs w:val="32"/>
    </w:rPr>
  </w:style>
  <w:style w:type="character" w:customStyle="1" w:styleId="124">
    <w:name w:val="普通文字 Char Char2"/>
    <w:qFormat/>
    <w:uiPriority w:val="0"/>
    <w:rPr>
      <w:rFonts w:ascii="宋体" w:hAnsi="Courier New" w:eastAsia="宋体"/>
      <w:kern w:val="2"/>
      <w:sz w:val="21"/>
      <w:lang w:val="en-US" w:eastAsia="zh-CN" w:bidi="ar-SA"/>
    </w:rPr>
  </w:style>
  <w:style w:type="character" w:customStyle="1" w:styleId="125">
    <w:name w:val="lan1"/>
    <w:qFormat/>
    <w:uiPriority w:val="0"/>
    <w:rPr>
      <w:rFonts w:hint="default"/>
      <w:color w:val="003366"/>
      <w:sz w:val="18"/>
      <w:szCs w:val="18"/>
      <w:u w:val="none"/>
    </w:rPr>
  </w:style>
  <w:style w:type="character" w:customStyle="1" w:styleId="126">
    <w:name w:val="lb1"/>
    <w:qFormat/>
    <w:uiPriority w:val="0"/>
    <w:rPr>
      <w:rFonts w:hint="default"/>
      <w:b/>
      <w:bCs/>
      <w:color w:val="0851A5"/>
      <w:sz w:val="27"/>
      <w:szCs w:val="27"/>
    </w:rPr>
  </w:style>
  <w:style w:type="character" w:customStyle="1" w:styleId="127">
    <w:name w:val="纯文本 Char3"/>
    <w:qFormat/>
    <w:uiPriority w:val="0"/>
    <w:rPr>
      <w:rFonts w:ascii="宋体" w:hAnsi="Courier New" w:eastAsia="宋体" w:cs="Courier New"/>
      <w:kern w:val="2"/>
      <w:sz w:val="21"/>
      <w:szCs w:val="21"/>
      <w:lang w:val="en-US" w:eastAsia="zh-CN" w:bidi="ar-SA"/>
    </w:rPr>
  </w:style>
  <w:style w:type="character" w:customStyle="1" w:styleId="128">
    <w:name w:val="mark8"/>
    <w:qFormat/>
    <w:uiPriority w:val="0"/>
    <w:rPr>
      <w:b/>
      <w:bCs/>
      <w:sz w:val="21"/>
      <w:szCs w:val="21"/>
    </w:rPr>
  </w:style>
  <w:style w:type="character" w:customStyle="1" w:styleId="129">
    <w:name w:val="hei16b1"/>
    <w:qFormat/>
    <w:uiPriority w:val="0"/>
    <w:rPr>
      <w:rFonts w:hint="default" w:ascii="Arial" w:hAnsi="Arial" w:cs="Arial"/>
      <w:b/>
      <w:bCs/>
      <w:color w:val="000000"/>
      <w:sz w:val="24"/>
      <w:szCs w:val="24"/>
    </w:rPr>
  </w:style>
  <w:style w:type="character" w:customStyle="1" w:styleId="130">
    <w:name w:val="style141"/>
    <w:qFormat/>
    <w:uiPriority w:val="0"/>
    <w:rPr>
      <w:color w:val="76738E"/>
      <w:sz w:val="18"/>
      <w:szCs w:val="18"/>
    </w:rPr>
  </w:style>
  <w:style w:type="character" w:customStyle="1" w:styleId="131">
    <w:name w:val="olt_table_content_cfg1"/>
    <w:qFormat/>
    <w:uiPriority w:val="0"/>
    <w:rPr>
      <w:rFonts w:hint="default" w:ascii="Arial" w:hAnsi="Arial" w:cs="Arial"/>
      <w:color w:val="000000"/>
      <w:sz w:val="16"/>
      <w:szCs w:val="16"/>
    </w:rPr>
  </w:style>
  <w:style w:type="character" w:customStyle="1" w:styleId="132">
    <w:name w:val="style31"/>
    <w:qFormat/>
    <w:uiPriority w:val="0"/>
    <w:rPr>
      <w:color w:val="000000"/>
    </w:rPr>
  </w:style>
  <w:style w:type="character" w:customStyle="1" w:styleId="133">
    <w:name w:val="ca-21"/>
    <w:qFormat/>
    <w:uiPriority w:val="0"/>
    <w:rPr>
      <w:rFonts w:hint="eastAsia" w:ascii="宋体" w:hAnsi="宋体" w:eastAsia="宋体"/>
      <w:sz w:val="21"/>
      <w:szCs w:val="21"/>
    </w:rPr>
  </w:style>
  <w:style w:type="character" w:customStyle="1" w:styleId="134">
    <w:name w:val="hg3"/>
    <w:qFormat/>
    <w:uiPriority w:val="0"/>
  </w:style>
  <w:style w:type="character" w:customStyle="1" w:styleId="135">
    <w:name w:val="aboutus"/>
    <w:qFormat/>
    <w:uiPriority w:val="0"/>
  </w:style>
  <w:style w:type="character" w:customStyle="1" w:styleId="136">
    <w:name w:val="grayfont1"/>
    <w:qFormat/>
    <w:uiPriority w:val="0"/>
    <w:rPr>
      <w:color w:val="7D8288"/>
    </w:rPr>
  </w:style>
  <w:style w:type="character" w:customStyle="1" w:styleId="137">
    <w:name w:val="marklong"/>
    <w:qFormat/>
    <w:uiPriority w:val="0"/>
  </w:style>
  <w:style w:type="character" w:customStyle="1" w:styleId="138">
    <w:name w:val="wj1"/>
    <w:qFormat/>
    <w:uiPriority w:val="0"/>
    <w:rPr>
      <w:color w:val="000000"/>
      <w:sz w:val="18"/>
      <w:szCs w:val="18"/>
      <w:u w:val="none"/>
    </w:rPr>
  </w:style>
  <w:style w:type="character" w:customStyle="1" w:styleId="139">
    <w:name w:val="style351"/>
    <w:qFormat/>
    <w:uiPriority w:val="0"/>
    <w:rPr>
      <w:sz w:val="15"/>
      <w:szCs w:val="15"/>
    </w:rPr>
  </w:style>
  <w:style w:type="character" w:customStyle="1" w:styleId="140">
    <w:name w:val="para1"/>
    <w:qFormat/>
    <w:uiPriority w:val="0"/>
    <w:rPr>
      <w:rFonts w:hint="default" w:ascii="Arial" w:hAnsi="Arial" w:cs="Arial"/>
      <w:sz w:val="18"/>
      <w:szCs w:val="18"/>
    </w:rPr>
  </w:style>
  <w:style w:type="character" w:customStyle="1" w:styleId="141">
    <w:name w:val="blue8"/>
    <w:qFormat/>
    <w:uiPriority w:val="0"/>
  </w:style>
  <w:style w:type="character" w:customStyle="1" w:styleId="142">
    <w:name w:val="producttitle"/>
    <w:qFormat/>
    <w:uiPriority w:val="0"/>
  </w:style>
  <w:style w:type="character" w:customStyle="1" w:styleId="143">
    <w:name w:val="a151"/>
    <w:qFormat/>
    <w:uiPriority w:val="0"/>
    <w:rPr>
      <w:rFonts w:hint="default" w:ascii="Arial" w:hAnsi="Arial" w:cs="Arial"/>
      <w:color w:val="666666"/>
      <w:sz w:val="18"/>
      <w:szCs w:val="18"/>
      <w:u w:val="none"/>
    </w:rPr>
  </w:style>
  <w:style w:type="character" w:customStyle="1" w:styleId="144">
    <w:name w:val="Char Char5"/>
    <w:qFormat/>
    <w:uiPriority w:val="0"/>
    <w:rPr>
      <w:rFonts w:ascii="Calibri" w:hAnsi="Calibri" w:eastAsia="宋体"/>
      <w:kern w:val="2"/>
      <w:sz w:val="18"/>
      <w:szCs w:val="18"/>
      <w:lang w:val="en-US" w:eastAsia="zh-CN" w:bidi="ar-SA"/>
    </w:rPr>
  </w:style>
  <w:style w:type="character" w:customStyle="1" w:styleId="145">
    <w:name w:val="普通文字 Char Char"/>
    <w:qFormat/>
    <w:uiPriority w:val="0"/>
    <w:rPr>
      <w:rFonts w:ascii="宋体" w:hAnsi="Courier New" w:eastAsia="宋体" w:cs="Courier New"/>
      <w:szCs w:val="21"/>
    </w:rPr>
  </w:style>
  <w:style w:type="character" w:customStyle="1" w:styleId="146">
    <w:name w:val="a1"/>
    <w:qFormat/>
    <w:uiPriority w:val="0"/>
  </w:style>
  <w:style w:type="character" w:customStyle="1" w:styleId="147">
    <w:name w:val="Style 宋体 小四"/>
    <w:qFormat/>
    <w:uiPriority w:val="0"/>
    <w:rPr>
      <w:rFonts w:hint="eastAsia" w:ascii="宋体" w:hAnsi="宋体" w:eastAsia="宋体"/>
      <w:sz w:val="21"/>
      <w:szCs w:val="21"/>
    </w:rPr>
  </w:style>
  <w:style w:type="character" w:customStyle="1" w:styleId="148">
    <w:name w:val="txt-deepblue-121"/>
    <w:qFormat/>
    <w:uiPriority w:val="0"/>
    <w:rPr>
      <w:rFonts w:hint="eastAsia" w:ascii="宋体" w:hAnsi="宋体" w:eastAsia="宋体"/>
      <w:color w:val="0157A4"/>
      <w:sz w:val="20"/>
      <w:szCs w:val="20"/>
    </w:rPr>
  </w:style>
  <w:style w:type="character" w:customStyle="1" w:styleId="149">
    <w:name w:val="14"/>
    <w:qFormat/>
    <w:uiPriority w:val="0"/>
  </w:style>
  <w:style w:type="character" w:customStyle="1" w:styleId="150">
    <w:name w:val="markl"/>
    <w:qFormat/>
    <w:uiPriority w:val="0"/>
  </w:style>
  <w:style w:type="character" w:customStyle="1" w:styleId="151">
    <w:name w:val="para_intropara1"/>
    <w:qFormat/>
    <w:uiPriority w:val="0"/>
    <w:rPr>
      <w:rFonts w:hint="default" w:ascii="Arial" w:hAnsi="Arial" w:cs="Arial"/>
      <w:b/>
      <w:bCs/>
      <w:color w:val="666666"/>
      <w:sz w:val="24"/>
      <w:szCs w:val="24"/>
    </w:rPr>
  </w:style>
  <w:style w:type="character" w:customStyle="1" w:styleId="152">
    <w:name w:val="小标题011"/>
    <w:qFormat/>
    <w:uiPriority w:val="0"/>
    <w:rPr>
      <w:rFonts w:hint="default" w:ascii="Verdana" w:hAnsi="Verdana"/>
      <w:b/>
      <w:bCs/>
      <w:color w:val="000000"/>
      <w:sz w:val="21"/>
      <w:szCs w:val="21"/>
    </w:rPr>
  </w:style>
  <w:style w:type="character" w:customStyle="1" w:styleId="153">
    <w:name w:val="article1"/>
    <w:qFormat/>
    <w:uiPriority w:val="0"/>
    <w:rPr>
      <w:sz w:val="22"/>
      <w:szCs w:val="22"/>
    </w:rPr>
  </w:style>
  <w:style w:type="character" w:customStyle="1" w:styleId="154">
    <w:name w:val="forinput"/>
    <w:qFormat/>
    <w:uiPriority w:val="0"/>
  </w:style>
  <w:style w:type="character" w:customStyle="1" w:styleId="155">
    <w:name w:val="纯文本 Char1"/>
    <w:qFormat/>
    <w:uiPriority w:val="0"/>
    <w:rPr>
      <w:rFonts w:ascii="宋体" w:hAnsi="Courier New" w:eastAsia="宋体" w:cs="Courier New"/>
      <w:kern w:val="2"/>
      <w:sz w:val="21"/>
      <w:szCs w:val="21"/>
      <w:lang w:val="en-US" w:eastAsia="zh-CN" w:bidi="ar-SA"/>
    </w:rPr>
  </w:style>
  <w:style w:type="character" w:customStyle="1" w:styleId="156">
    <w:name w:val="grey1"/>
    <w:qFormat/>
    <w:uiPriority w:val="0"/>
    <w:rPr>
      <w:rFonts w:hint="default" w:ascii="Verdana" w:hAnsi="Verdana"/>
      <w:color w:val="666666"/>
      <w:spacing w:val="240"/>
      <w:sz w:val="18"/>
      <w:szCs w:val="18"/>
      <w:u w:val="none"/>
    </w:rPr>
  </w:style>
  <w:style w:type="character" w:customStyle="1" w:styleId="157">
    <w:name w:val="cblack"/>
    <w:qFormat/>
    <w:uiPriority w:val="0"/>
  </w:style>
  <w:style w:type="character" w:customStyle="1" w:styleId="158">
    <w:name w:val="font14"/>
    <w:qFormat/>
    <w:uiPriority w:val="0"/>
  </w:style>
  <w:style w:type="character" w:customStyle="1" w:styleId="159">
    <w:name w:val="方案正文 Char"/>
    <w:link w:val="160"/>
    <w:qFormat/>
    <w:uiPriority w:val="0"/>
    <w:rPr>
      <w:rFonts w:ascii="Arial" w:hAnsi="Arial"/>
      <w:kern w:val="2"/>
      <w:sz w:val="24"/>
      <w:szCs w:val="21"/>
    </w:rPr>
  </w:style>
  <w:style w:type="paragraph" w:customStyle="1" w:styleId="160">
    <w:name w:val="方案正文"/>
    <w:basedOn w:val="1"/>
    <w:link w:val="159"/>
    <w:qFormat/>
    <w:uiPriority w:val="0"/>
    <w:pPr>
      <w:spacing w:before="156" w:line="360" w:lineRule="auto"/>
      <w:ind w:firstLine="359" w:firstLineChars="171"/>
      <w:jc w:val="left"/>
    </w:pPr>
    <w:rPr>
      <w:rFonts w:ascii="Arial" w:hAnsi="Arial"/>
      <w:sz w:val="24"/>
      <w:szCs w:val="21"/>
    </w:rPr>
  </w:style>
  <w:style w:type="character" w:customStyle="1" w:styleId="161">
    <w:name w:val="style171"/>
    <w:qFormat/>
    <w:uiPriority w:val="0"/>
    <w:rPr>
      <w:color w:val="000000"/>
    </w:rPr>
  </w:style>
  <w:style w:type="character" w:customStyle="1" w:styleId="162">
    <w:name w:val="main5"/>
    <w:qFormat/>
    <w:uiPriority w:val="0"/>
    <w:rPr>
      <w:color w:val="000000"/>
      <w:sz w:val="20"/>
      <w:szCs w:val="20"/>
    </w:rPr>
  </w:style>
  <w:style w:type="character" w:customStyle="1" w:styleId="163">
    <w:name w:val="s"/>
    <w:qFormat/>
    <w:uiPriority w:val="0"/>
  </w:style>
  <w:style w:type="paragraph" w:customStyle="1" w:styleId="164">
    <w:name w:val="font10"/>
    <w:basedOn w:val="1"/>
    <w:qFormat/>
    <w:uiPriority w:val="0"/>
    <w:pPr>
      <w:widowControl/>
      <w:spacing w:before="100" w:beforeAutospacing="1" w:after="100" w:afterAutospacing="1"/>
      <w:jc w:val="left"/>
    </w:pPr>
    <w:rPr>
      <w:color w:val="000000"/>
      <w:kern w:val="0"/>
      <w:sz w:val="24"/>
    </w:rPr>
  </w:style>
  <w:style w:type="paragraph" w:customStyle="1" w:styleId="1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166">
    <w:name w:val="p0"/>
    <w:basedOn w:val="1"/>
    <w:qFormat/>
    <w:uiPriority w:val="0"/>
    <w:pPr>
      <w:widowControl/>
      <w:jc w:val="left"/>
    </w:pPr>
    <w:rPr>
      <w:rFonts w:ascii="宋体" w:hAnsi="宋体" w:cs="宋体"/>
      <w:kern w:val="0"/>
      <w:sz w:val="24"/>
    </w:rPr>
  </w:style>
  <w:style w:type="paragraph" w:customStyle="1" w:styleId="16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68">
    <w:name w:val="xl4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169">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17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71">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Cs w:val="21"/>
    </w:rPr>
  </w:style>
  <w:style w:type="paragraph" w:customStyle="1" w:styleId="172">
    <w:name w:val="xl3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73">
    <w:name w:val="xl48"/>
    <w:basedOn w:val="1"/>
    <w:qFormat/>
    <w:uiPriority w:val="0"/>
    <w:pPr>
      <w:widowControl/>
      <w:spacing w:before="100" w:beforeAutospacing="1" w:after="100" w:afterAutospacing="1"/>
    </w:pPr>
    <w:rPr>
      <w:rFonts w:ascii="宋体" w:hAnsi="宋体" w:cs="宋体"/>
      <w:kern w:val="0"/>
      <w:szCs w:val="21"/>
    </w:rPr>
  </w:style>
  <w:style w:type="paragraph" w:customStyle="1" w:styleId="174">
    <w:name w:val="xl3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75">
    <w:name w:val="Char1 Char Char Char"/>
    <w:basedOn w:val="1"/>
    <w:qFormat/>
    <w:uiPriority w:val="0"/>
    <w:pPr>
      <w:tabs>
        <w:tab w:val="left" w:pos="720"/>
      </w:tabs>
      <w:ind w:left="720" w:hanging="360"/>
    </w:pPr>
    <w:rPr>
      <w:sz w:val="24"/>
    </w:rPr>
  </w:style>
  <w:style w:type="paragraph" w:customStyle="1" w:styleId="176">
    <w:name w:val="正文段"/>
    <w:basedOn w:val="1"/>
    <w:qFormat/>
    <w:uiPriority w:val="0"/>
    <w:pPr>
      <w:widowControl/>
      <w:snapToGrid w:val="0"/>
      <w:spacing w:afterLines="50"/>
      <w:ind w:firstLine="200" w:firstLineChars="200"/>
    </w:pPr>
    <w:rPr>
      <w:kern w:val="0"/>
      <w:sz w:val="24"/>
      <w:szCs w:val="20"/>
    </w:rPr>
  </w:style>
  <w:style w:type="paragraph" w:customStyle="1" w:styleId="177">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78">
    <w:name w:val="正文5号"/>
    <w:basedOn w:val="1"/>
    <w:qFormat/>
    <w:uiPriority w:val="0"/>
    <w:pPr>
      <w:spacing w:line="288" w:lineRule="auto"/>
      <w:ind w:firstLine="200" w:firstLineChars="200"/>
    </w:pPr>
    <w:rPr>
      <w:rFonts w:ascii="Arial" w:hAnsi="Arial" w:cs="宋体"/>
      <w:szCs w:val="20"/>
    </w:rPr>
  </w:style>
  <w:style w:type="paragraph" w:customStyle="1" w:styleId="179">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180">
    <w:name w:val="Char Char Char Char Char Char Char Char Char Char Char Char"/>
    <w:basedOn w:val="1"/>
    <w:qFormat/>
    <w:uiPriority w:val="0"/>
    <w:pPr>
      <w:widowControl/>
      <w:spacing w:after="160" w:line="240" w:lineRule="exact"/>
      <w:jc w:val="left"/>
    </w:pPr>
  </w:style>
  <w:style w:type="paragraph" w:customStyle="1" w:styleId="181">
    <w:name w:val="Char Char Char1 Char Char Char Char Char Char Char"/>
    <w:basedOn w:val="1"/>
    <w:qFormat/>
    <w:uiPriority w:val="0"/>
  </w:style>
  <w:style w:type="paragraph" w:customStyle="1" w:styleId="182">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83">
    <w:name w:val="style9"/>
    <w:basedOn w:val="1"/>
    <w:qFormat/>
    <w:uiPriority w:val="0"/>
    <w:pPr>
      <w:widowControl/>
      <w:spacing w:before="100" w:beforeAutospacing="1" w:after="100" w:afterAutospacing="1"/>
      <w:jc w:val="left"/>
    </w:pPr>
    <w:rPr>
      <w:rFonts w:ascii="Arial" w:hAnsi="Arial" w:cs="Arial"/>
      <w:kern w:val="0"/>
      <w:szCs w:val="21"/>
    </w:rPr>
  </w:style>
  <w:style w:type="paragraph" w:customStyle="1" w:styleId="184">
    <w:name w:val="_Style 183"/>
    <w:unhideWhenUsed/>
    <w:qFormat/>
    <w:uiPriority w:val="99"/>
    <w:rPr>
      <w:rFonts w:ascii="Times New Roman" w:hAnsi="Times New Roman" w:eastAsia="宋体" w:cs="Times New Roman"/>
      <w:kern w:val="2"/>
      <w:sz w:val="21"/>
      <w:szCs w:val="24"/>
      <w:lang w:val="en-US" w:eastAsia="zh-CN" w:bidi="ar-SA"/>
    </w:rPr>
  </w:style>
  <w:style w:type="paragraph" w:customStyle="1" w:styleId="185">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1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7">
    <w:name w:val="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Char Char Char1"/>
    <w:basedOn w:val="1"/>
    <w:qFormat/>
    <w:uiPriority w:val="0"/>
    <w:rPr>
      <w:rFonts w:ascii="Tahoma" w:hAnsi="Tahoma"/>
      <w:sz w:val="24"/>
      <w:szCs w:val="20"/>
    </w:rPr>
  </w:style>
  <w:style w:type="paragraph" w:customStyle="1" w:styleId="189">
    <w:name w:val="msolistparagraph"/>
    <w:basedOn w:val="1"/>
    <w:qFormat/>
    <w:uiPriority w:val="0"/>
    <w:pPr>
      <w:ind w:firstLine="420" w:firstLineChars="200"/>
    </w:pPr>
    <w:rPr>
      <w:szCs w:val="21"/>
    </w:rPr>
  </w:style>
  <w:style w:type="paragraph" w:customStyle="1" w:styleId="190">
    <w:name w:val="Char Char4 Char Char"/>
    <w:basedOn w:val="1"/>
    <w:qFormat/>
    <w:uiPriority w:val="0"/>
    <w:pPr>
      <w:widowControl/>
      <w:spacing w:after="160" w:line="240" w:lineRule="exact"/>
      <w:jc w:val="left"/>
    </w:pPr>
  </w:style>
  <w:style w:type="paragraph" w:customStyle="1" w:styleId="19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92">
    <w:name w:val="Char Char Char Char Char Char1 Char1"/>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93">
    <w:name w:val="样式 正文5号 + 首行缩进:  2 字符 段后: 7.8 磅"/>
    <w:basedOn w:val="178"/>
    <w:qFormat/>
    <w:uiPriority w:val="0"/>
  </w:style>
  <w:style w:type="paragraph" w:customStyle="1" w:styleId="19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5">
    <w:name w:val="xl5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19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表中文字"/>
    <w:basedOn w:val="1"/>
    <w:qFormat/>
    <w:uiPriority w:val="0"/>
    <w:pPr>
      <w:spacing w:line="360" w:lineRule="auto"/>
    </w:pPr>
    <w:rPr>
      <w:bCs/>
    </w:rPr>
  </w:style>
  <w:style w:type="paragraph" w:customStyle="1" w:styleId="19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99">
    <w:name w:val="默认段落字体 Para Char Char Char Char"/>
    <w:basedOn w:val="1"/>
    <w:qFormat/>
    <w:uiPriority w:val="0"/>
  </w:style>
  <w:style w:type="paragraph" w:customStyle="1" w:styleId="200">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201">
    <w:name w:val="列表内容"/>
    <w:basedOn w:val="1"/>
    <w:next w:val="1"/>
    <w:qFormat/>
    <w:uiPriority w:val="0"/>
    <w:pPr>
      <w:widowControl/>
      <w:tabs>
        <w:tab w:val="left" w:pos="840"/>
      </w:tabs>
      <w:ind w:left="840" w:hanging="420"/>
      <w:jc w:val="left"/>
    </w:pPr>
    <w:rPr>
      <w:kern w:val="0"/>
      <w:sz w:val="18"/>
    </w:rPr>
  </w:style>
  <w:style w:type="paragraph" w:customStyle="1" w:styleId="202">
    <w:name w:val="font5"/>
    <w:basedOn w:val="1"/>
    <w:qFormat/>
    <w:uiPriority w:val="0"/>
    <w:pPr>
      <w:widowControl/>
      <w:spacing w:before="100" w:beforeAutospacing="1" w:after="100" w:afterAutospacing="1"/>
      <w:jc w:val="left"/>
    </w:pPr>
    <w:rPr>
      <w:kern w:val="0"/>
      <w:szCs w:val="21"/>
    </w:rPr>
  </w:style>
  <w:style w:type="paragraph" w:customStyle="1" w:styleId="203">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204">
    <w:name w:val="标准正文"/>
    <w:basedOn w:val="1"/>
    <w:next w:val="1"/>
    <w:qFormat/>
    <w:uiPriority w:val="0"/>
    <w:pPr>
      <w:widowControl/>
      <w:spacing w:after="50"/>
      <w:ind w:firstLine="200"/>
    </w:pPr>
    <w:rPr>
      <w:color w:val="000000"/>
      <w:sz w:val="24"/>
      <w:szCs w:val="20"/>
    </w:rPr>
  </w:style>
  <w:style w:type="paragraph" w:customStyle="1" w:styleId="205">
    <w:name w:val="xl36"/>
    <w:basedOn w:val="1"/>
    <w:qFormat/>
    <w:uiPriority w:val="0"/>
    <w:pPr>
      <w:widowControl/>
      <w:pBdr>
        <w:bottom w:val="single" w:color="auto" w:sz="8" w:space="0"/>
      </w:pBdr>
      <w:spacing w:before="100" w:beforeAutospacing="1" w:after="100" w:afterAutospacing="1"/>
    </w:pPr>
    <w:rPr>
      <w:rFonts w:ascii="宋体" w:hAnsi="宋体" w:cs="宋体"/>
      <w:kern w:val="0"/>
      <w:szCs w:val="21"/>
    </w:rPr>
  </w:style>
  <w:style w:type="paragraph" w:customStyle="1" w:styleId="206">
    <w:name w:val="Char Char1 Char Char Char Char1"/>
    <w:basedOn w:val="15"/>
    <w:qFormat/>
    <w:uiPriority w:val="0"/>
    <w:rPr>
      <w:rFonts w:ascii="Tahoma" w:hAnsi="Tahoma"/>
      <w:sz w:val="24"/>
    </w:rPr>
  </w:style>
  <w:style w:type="paragraph" w:customStyle="1" w:styleId="207">
    <w:name w:val="默认段落字体 Para Char Char Char Char Char Char Char"/>
    <w:basedOn w:val="1"/>
    <w:qFormat/>
    <w:uiPriority w:val="0"/>
    <w:rPr>
      <w:rFonts w:ascii="Tahoma" w:hAnsi="Tahoma"/>
      <w:sz w:val="24"/>
      <w:szCs w:val="20"/>
    </w:rPr>
  </w:style>
  <w:style w:type="paragraph" w:customStyle="1" w:styleId="208">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209">
    <w:name w:val="Char1"/>
    <w:basedOn w:val="1"/>
    <w:qFormat/>
    <w:uiPriority w:val="0"/>
    <w:rPr>
      <w:rFonts w:ascii="仿宋_GB2312" w:eastAsia="仿宋_GB2312"/>
      <w:b/>
      <w:sz w:val="32"/>
      <w:szCs w:val="32"/>
    </w:rPr>
  </w:style>
  <w:style w:type="paragraph" w:customStyle="1" w:styleId="21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11">
    <w:name w:val="Bullets"/>
    <w:basedOn w:val="1"/>
    <w:qFormat/>
    <w:uiPriority w:val="0"/>
    <w:pPr>
      <w:widowControl/>
      <w:adjustRightInd w:val="0"/>
      <w:snapToGrid w:val="0"/>
      <w:spacing w:before="60" w:after="60"/>
    </w:pPr>
    <w:rPr>
      <w:kern w:val="0"/>
      <w:sz w:val="24"/>
      <w:lang w:val="en-GB"/>
    </w:rPr>
  </w:style>
  <w:style w:type="paragraph" w:customStyle="1" w:styleId="212">
    <w:name w:val="Char Char Char"/>
    <w:basedOn w:val="1"/>
    <w:qFormat/>
    <w:uiPriority w:val="0"/>
    <w:rPr>
      <w:rFonts w:ascii="Tahoma" w:hAnsi="Tahoma"/>
      <w:sz w:val="24"/>
      <w:szCs w:val="20"/>
    </w:rPr>
  </w:style>
  <w:style w:type="paragraph" w:customStyle="1" w:styleId="213">
    <w:name w:val="xl37"/>
    <w:basedOn w:val="1"/>
    <w:qFormat/>
    <w:uiPriority w:val="0"/>
    <w:pPr>
      <w:widowControl/>
      <w:pBdr>
        <w:bottom w:val="single" w:color="auto" w:sz="8" w:space="0"/>
      </w:pBdr>
      <w:spacing w:before="100" w:beforeAutospacing="1" w:after="100" w:afterAutospacing="1"/>
      <w:jc w:val="center"/>
    </w:pPr>
    <w:rPr>
      <w:kern w:val="0"/>
      <w:szCs w:val="21"/>
    </w:rPr>
  </w:style>
  <w:style w:type="paragraph" w:customStyle="1" w:styleId="214">
    <w:name w:val="我的正文"/>
    <w:basedOn w:val="1"/>
    <w:qFormat/>
    <w:uiPriority w:val="0"/>
    <w:pPr>
      <w:spacing w:line="520" w:lineRule="exact"/>
      <w:ind w:firstLine="192" w:firstLineChars="192"/>
    </w:pPr>
    <w:rPr>
      <w:sz w:val="28"/>
      <w:szCs w:val="28"/>
    </w:rPr>
  </w:style>
  <w:style w:type="paragraph" w:customStyle="1" w:styleId="215">
    <w:name w:val="Bullet with text 1"/>
    <w:basedOn w:val="1"/>
    <w:qFormat/>
    <w:uiPriority w:val="0"/>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216">
    <w:name w:val="列出段落1"/>
    <w:basedOn w:val="1"/>
    <w:qFormat/>
    <w:uiPriority w:val="0"/>
    <w:pPr>
      <w:ind w:firstLine="420" w:firstLineChars="200"/>
    </w:pPr>
    <w:rPr>
      <w:rFonts w:ascii="Calibri" w:hAnsi="Calibri"/>
      <w:szCs w:val="22"/>
    </w:rPr>
  </w:style>
  <w:style w:type="paragraph" w:customStyle="1" w:styleId="217">
    <w:name w:val="Char"/>
    <w:basedOn w:val="15"/>
    <w:qFormat/>
    <w:uiPriority w:val="0"/>
    <w:pPr>
      <w:widowControl/>
      <w:ind w:firstLine="454"/>
      <w:jc w:val="left"/>
    </w:pPr>
    <w:rPr>
      <w:rFonts w:ascii="Tahoma" w:hAnsi="Tahoma" w:cs="宋体"/>
      <w:kern w:val="0"/>
      <w:sz w:val="24"/>
      <w:szCs w:val="20"/>
    </w:rPr>
  </w:style>
  <w:style w:type="paragraph" w:customStyle="1" w:styleId="218">
    <w:name w:val="xl49"/>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21"/>
    </w:rPr>
  </w:style>
  <w:style w:type="paragraph" w:customStyle="1" w:styleId="219">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20">
    <w:name w:val="列出段落2"/>
    <w:basedOn w:val="1"/>
    <w:qFormat/>
    <w:uiPriority w:val="0"/>
    <w:pPr>
      <w:ind w:firstLine="420" w:firstLineChars="200"/>
    </w:pPr>
    <w:rPr>
      <w:rFonts w:ascii="Calibri" w:hAnsi="Calibri"/>
      <w:szCs w:val="22"/>
    </w:rPr>
  </w:style>
  <w:style w:type="paragraph" w:customStyle="1" w:styleId="22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22">
    <w:name w:val="样式3"/>
    <w:basedOn w:val="23"/>
    <w:qFormat/>
    <w:uiPriority w:val="0"/>
    <w:pPr>
      <w:spacing w:line="0" w:lineRule="atLeast"/>
      <w:outlineLvl w:val="0"/>
    </w:pPr>
    <w:rPr>
      <w:rFonts w:cs="Times New Roman"/>
      <w:sz w:val="28"/>
      <w:szCs w:val="24"/>
    </w:rPr>
  </w:style>
  <w:style w:type="paragraph" w:customStyle="1" w:styleId="223">
    <w:name w:val="样式 宋体 五号 行距: 单倍行距"/>
    <w:basedOn w:val="1"/>
    <w:qFormat/>
    <w:uiPriority w:val="0"/>
    <w:pPr>
      <w:adjustRightInd w:val="0"/>
      <w:jc w:val="left"/>
      <w:textAlignment w:val="baseline"/>
    </w:pPr>
    <w:rPr>
      <w:rFonts w:ascii="宋体" w:hAnsi="宋体" w:cs="黑体"/>
      <w:kern w:val="0"/>
      <w:szCs w:val="20"/>
    </w:rPr>
  </w:style>
  <w:style w:type="paragraph" w:customStyle="1" w:styleId="22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25">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26">
    <w:name w:val="默认段落字体 Para Char Char Char Char Char Char Char Char Char1 Char Char Char Char"/>
    <w:basedOn w:val="1"/>
    <w:qFormat/>
    <w:uiPriority w:val="0"/>
    <w:rPr>
      <w:rFonts w:ascii="Tahoma" w:hAnsi="Tahoma"/>
      <w:sz w:val="24"/>
      <w:szCs w:val="20"/>
    </w:rPr>
  </w:style>
  <w:style w:type="paragraph" w:customStyle="1" w:styleId="227">
    <w:name w:val="xl3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28">
    <w:name w:val="sub_title_gray"/>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Char2"/>
    <w:basedOn w:val="15"/>
    <w:qFormat/>
    <w:uiPriority w:val="0"/>
    <w:pPr>
      <w:widowControl/>
      <w:ind w:firstLine="454"/>
      <w:jc w:val="left"/>
    </w:pPr>
    <w:rPr>
      <w:rFonts w:ascii="Tahoma" w:hAnsi="Tahoma" w:cs="宋体"/>
      <w:kern w:val="0"/>
      <w:sz w:val="24"/>
      <w:szCs w:val="20"/>
    </w:rPr>
  </w:style>
  <w:style w:type="paragraph" w:customStyle="1" w:styleId="230">
    <w:name w:val="15"/>
    <w:basedOn w:val="1"/>
    <w:qFormat/>
    <w:uiPriority w:val="0"/>
    <w:pPr>
      <w:widowControl/>
      <w:snapToGrid w:val="0"/>
      <w:spacing w:before="100" w:beforeAutospacing="1" w:after="100" w:afterAutospacing="1"/>
    </w:pPr>
    <w:rPr>
      <w:b/>
      <w:kern w:val="0"/>
      <w:szCs w:val="20"/>
    </w:rPr>
  </w:style>
  <w:style w:type="paragraph" w:customStyle="1" w:styleId="231">
    <w:name w:val="Char3"/>
    <w:basedOn w:val="1"/>
    <w:qFormat/>
    <w:uiPriority w:val="0"/>
    <w:rPr>
      <w:szCs w:val="21"/>
    </w:rPr>
  </w:style>
  <w:style w:type="paragraph" w:customStyle="1" w:styleId="232">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23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5">
    <w:name w:val="xl42"/>
    <w:basedOn w:val="1"/>
    <w:qFormat/>
    <w:uiPriority w:val="0"/>
    <w:pPr>
      <w:widowControl/>
      <w:pBdr>
        <w:top w:val="single" w:color="auto" w:sz="8" w:space="0"/>
      </w:pBdr>
      <w:spacing w:before="100" w:beforeAutospacing="1" w:after="100" w:afterAutospacing="1"/>
      <w:jc w:val="center"/>
    </w:pPr>
    <w:rPr>
      <w:rFonts w:ascii="宋体" w:hAnsi="宋体" w:cs="宋体"/>
      <w:kern w:val="0"/>
      <w:szCs w:val="21"/>
    </w:rPr>
  </w:style>
  <w:style w:type="paragraph" w:customStyle="1" w:styleId="236">
    <w:name w:val="默认段落字体 Para Char"/>
    <w:basedOn w:val="1"/>
    <w:qFormat/>
    <w:uiPriority w:val="0"/>
    <w:rPr>
      <w:szCs w:val="20"/>
    </w:rPr>
  </w:style>
  <w:style w:type="paragraph" w:customStyle="1" w:styleId="237">
    <w:name w:val="Char Char Char Char Char Char Char"/>
    <w:basedOn w:val="1"/>
    <w:qFormat/>
    <w:uiPriority w:val="0"/>
  </w:style>
  <w:style w:type="paragraph" w:customStyle="1" w:styleId="238">
    <w:name w:val="默认段落字体 Para Char Char Char Char Char Char Char Char Char"/>
    <w:basedOn w:val="1"/>
    <w:qFormat/>
    <w:uiPriority w:val="0"/>
    <w:rPr>
      <w:rFonts w:ascii="Tahoma" w:hAnsi="Tahoma"/>
      <w:sz w:val="24"/>
      <w:szCs w:val="20"/>
    </w:rPr>
  </w:style>
  <w:style w:type="paragraph" w:customStyle="1" w:styleId="23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40">
    <w:name w:val="Char11"/>
    <w:basedOn w:val="15"/>
    <w:qFormat/>
    <w:uiPriority w:val="0"/>
    <w:pPr>
      <w:widowControl/>
      <w:ind w:firstLine="454"/>
      <w:jc w:val="left"/>
    </w:pPr>
    <w:rPr>
      <w:rFonts w:ascii="Tahoma" w:hAnsi="Tahoma" w:cs="宋体"/>
      <w:kern w:val="0"/>
      <w:sz w:val="24"/>
      <w:szCs w:val="20"/>
    </w:rPr>
  </w:style>
  <w:style w:type="paragraph" w:customStyle="1" w:styleId="241">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42">
    <w:name w:val="font7"/>
    <w:basedOn w:val="1"/>
    <w:qFormat/>
    <w:uiPriority w:val="0"/>
    <w:pPr>
      <w:widowControl/>
      <w:spacing w:before="100" w:beforeAutospacing="1" w:after="100" w:afterAutospacing="1"/>
      <w:jc w:val="left"/>
    </w:pPr>
    <w:rPr>
      <w:b/>
      <w:bCs/>
      <w:kern w:val="0"/>
      <w:szCs w:val="21"/>
    </w:rPr>
  </w:style>
  <w:style w:type="paragraph" w:customStyle="1" w:styleId="243">
    <w:name w:val="表格"/>
    <w:basedOn w:val="1"/>
    <w:qFormat/>
    <w:uiPriority w:val="0"/>
    <w:pPr>
      <w:ind w:left="-108" w:right="-108"/>
      <w:jc w:val="center"/>
    </w:pPr>
    <w:rPr>
      <w:szCs w:val="20"/>
    </w:rPr>
  </w:style>
  <w:style w:type="paragraph" w:customStyle="1" w:styleId="244">
    <w:name w:val="sanxiang3"/>
    <w:basedOn w:val="1"/>
    <w:qFormat/>
    <w:uiPriority w:val="0"/>
    <w:pPr>
      <w:widowControl/>
      <w:tabs>
        <w:tab w:val="left" w:pos="686"/>
        <w:tab w:val="left" w:pos="728"/>
        <w:tab w:val="left" w:pos="966"/>
      </w:tabs>
      <w:spacing w:line="400" w:lineRule="exact"/>
      <w:jc w:val="left"/>
      <w:outlineLvl w:val="2"/>
    </w:pPr>
    <w:rPr>
      <w:rFonts w:ascii="宋体" w:hAnsi="宋体"/>
      <w:sz w:val="24"/>
    </w:rPr>
  </w:style>
  <w:style w:type="paragraph" w:customStyle="1" w:styleId="245">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246">
    <w:name w:val="样式 标题 2 + 非加粗 首行缩进:  2 字符"/>
    <w:basedOn w:val="3"/>
    <w:qFormat/>
    <w:uiPriority w:val="0"/>
    <w:pPr>
      <w:keepLines/>
      <w:spacing w:line="600" w:lineRule="exact"/>
      <w:ind w:firstLine="640" w:firstLineChars="200"/>
      <w:jc w:val="left"/>
    </w:pPr>
    <w:rPr>
      <w:rFonts w:ascii="Arial" w:hAnsi="Arial" w:eastAsia="黑体" w:cs="宋体"/>
      <w:sz w:val="32"/>
      <w:szCs w:val="20"/>
    </w:rPr>
  </w:style>
  <w:style w:type="paragraph" w:customStyle="1" w:styleId="247">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4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49">
    <w:name w:val="p16"/>
    <w:basedOn w:val="1"/>
    <w:qFormat/>
    <w:uiPriority w:val="0"/>
    <w:pPr>
      <w:widowControl/>
    </w:pPr>
    <w:rPr>
      <w:rFonts w:ascii="宋体" w:hAnsi="宋体" w:cs="宋体"/>
      <w:kern w:val="0"/>
      <w:szCs w:val="21"/>
    </w:rPr>
  </w:style>
  <w:style w:type="paragraph" w:customStyle="1" w:styleId="25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1">
    <w:name w:val="Char1 Char Char Char Char Char Char"/>
    <w:basedOn w:val="1"/>
    <w:qFormat/>
    <w:uiPriority w:val="0"/>
    <w:rPr>
      <w:rFonts w:ascii="Tahoma" w:hAnsi="Tahoma"/>
      <w:sz w:val="24"/>
      <w:szCs w:val="20"/>
    </w:rPr>
  </w:style>
  <w:style w:type="paragraph" w:customStyle="1" w:styleId="252">
    <w:name w:val="缺省文本"/>
    <w:basedOn w:val="1"/>
    <w:qFormat/>
    <w:uiPriority w:val="0"/>
    <w:pPr>
      <w:autoSpaceDE w:val="0"/>
      <w:autoSpaceDN w:val="0"/>
      <w:adjustRightInd w:val="0"/>
      <w:jc w:val="left"/>
    </w:pPr>
    <w:rPr>
      <w:rFonts w:ascii="仿宋_GB2312" w:eastAsia="仿宋_GB2312"/>
      <w:kern w:val="0"/>
      <w:sz w:val="24"/>
      <w:szCs w:val="20"/>
    </w:rPr>
  </w:style>
  <w:style w:type="paragraph" w:customStyle="1" w:styleId="253">
    <w:name w:val="_Style 36"/>
    <w:basedOn w:val="15"/>
    <w:qFormat/>
    <w:uiPriority w:val="0"/>
    <w:pPr>
      <w:widowControl/>
      <w:ind w:firstLine="454"/>
      <w:jc w:val="left"/>
    </w:pPr>
  </w:style>
  <w:style w:type="paragraph" w:customStyle="1" w:styleId="254">
    <w:name w:val="sort-box01"/>
    <w:basedOn w:val="1"/>
    <w:qFormat/>
    <w:uiPriority w:val="0"/>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255">
    <w:name w:val="正文1"/>
    <w:basedOn w:val="1"/>
    <w:qFormat/>
    <w:uiPriority w:val="0"/>
    <w:pPr>
      <w:widowControl/>
      <w:overflowPunct w:val="0"/>
      <w:autoSpaceDE w:val="0"/>
      <w:autoSpaceDN w:val="0"/>
      <w:adjustRightInd w:val="0"/>
      <w:jc w:val="left"/>
      <w:textAlignment w:val="baseline"/>
    </w:pPr>
    <w:rPr>
      <w:kern w:val="0"/>
      <w:szCs w:val="20"/>
    </w:rPr>
  </w:style>
  <w:style w:type="paragraph" w:customStyle="1" w:styleId="256">
    <w:name w:val="Char Char1 Char Char Char Char"/>
    <w:basedOn w:val="15"/>
    <w:qFormat/>
    <w:uiPriority w:val="0"/>
    <w:rPr>
      <w:rFonts w:ascii="Tahoma" w:hAnsi="Tahoma"/>
      <w:sz w:val="24"/>
    </w:rPr>
  </w:style>
  <w:style w:type="paragraph" w:customStyle="1" w:styleId="257">
    <w:name w:val="Char Char Char Char2"/>
    <w:basedOn w:val="1"/>
    <w:qFormat/>
    <w:uiPriority w:val="0"/>
    <w:pPr>
      <w:widowControl/>
      <w:spacing w:after="160" w:line="240" w:lineRule="exact"/>
      <w:jc w:val="left"/>
    </w:pPr>
  </w:style>
  <w:style w:type="paragraph" w:customStyle="1" w:styleId="258">
    <w:name w:val="2"/>
    <w:basedOn w:val="1"/>
    <w:next w:val="23"/>
    <w:qFormat/>
    <w:uiPriority w:val="0"/>
    <w:rPr>
      <w:rFonts w:ascii="宋体" w:hAnsi="Courier New"/>
      <w:szCs w:val="20"/>
    </w:rPr>
  </w:style>
  <w:style w:type="paragraph" w:customStyle="1" w:styleId="259">
    <w:name w:val="1"/>
    <w:basedOn w:val="1"/>
    <w:next w:val="23"/>
    <w:qFormat/>
    <w:uiPriority w:val="0"/>
    <w:rPr>
      <w:rFonts w:ascii="宋体" w:hAnsi="Courier New"/>
      <w:szCs w:val="20"/>
    </w:rPr>
  </w:style>
  <w:style w:type="paragraph" w:customStyle="1" w:styleId="260">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61">
    <w:name w:val="xl43"/>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262">
    <w:name w:val="样式 标题 1 + 居中 段前: 0 磅 段后: 0 磅 行距: 固定值 30 磅"/>
    <w:basedOn w:val="2"/>
    <w:qFormat/>
    <w:uiPriority w:val="0"/>
    <w:pPr>
      <w:spacing w:before="0" w:after="0" w:line="600" w:lineRule="exact"/>
    </w:pPr>
    <w:rPr>
      <w:rFonts w:cs="宋体"/>
      <w:szCs w:val="20"/>
    </w:rPr>
  </w:style>
  <w:style w:type="paragraph" w:customStyle="1" w:styleId="263">
    <w:name w:val="xl46"/>
    <w:basedOn w:val="1"/>
    <w:qFormat/>
    <w:uiPriority w:val="0"/>
    <w:pPr>
      <w:widowControl/>
      <w:pBdr>
        <w:right w:val="single" w:color="auto" w:sz="8" w:space="0"/>
      </w:pBdr>
      <w:spacing w:before="100" w:beforeAutospacing="1" w:after="100" w:afterAutospacing="1"/>
      <w:jc w:val="center"/>
    </w:pPr>
    <w:rPr>
      <w:rFonts w:ascii="宋体" w:hAnsi="宋体" w:cs="宋体"/>
      <w:b/>
      <w:bCs/>
      <w:kern w:val="0"/>
      <w:szCs w:val="21"/>
    </w:rPr>
  </w:style>
  <w:style w:type="paragraph" w:customStyle="1" w:styleId="264">
    <w:name w:val="0"/>
    <w:basedOn w:val="1"/>
    <w:qFormat/>
    <w:uiPriority w:val="0"/>
    <w:pPr>
      <w:widowControl/>
      <w:snapToGrid w:val="0"/>
    </w:pPr>
    <w:rPr>
      <w:kern w:val="0"/>
      <w:szCs w:val="20"/>
    </w:rPr>
  </w:style>
  <w:style w:type="paragraph" w:customStyle="1" w:styleId="265">
    <w:name w:val="纯文本1"/>
    <w:basedOn w:val="1"/>
    <w:qFormat/>
    <w:uiPriority w:val="0"/>
    <w:rPr>
      <w:rFonts w:ascii="宋体" w:hAnsi="Courier New"/>
      <w:szCs w:val="20"/>
    </w:rPr>
  </w:style>
  <w:style w:type="table" w:customStyle="1" w:styleId="26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26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11867</Words>
  <Characters>13036</Characters>
  <Lines>135</Lines>
  <Paragraphs>38</Paragraphs>
  <TotalTime>1</TotalTime>
  <ScaleCrop>false</ScaleCrop>
  <LinksUpToDate>false</LinksUpToDate>
  <CharactersWithSpaces>13985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2023-09-04T09:59:00Z</dcterms:created>
  <dc:creator>聂泉源</dc:creator>
  <cp:lastModifiedBy>赖际宇</cp:lastModifiedBy>
  <cp:lastPrinted>2024-05-14T04:01:00Z</cp:lastPrinted>
  <dcterms:modified xsi:type="dcterms:W3CDTF">2025-06-26T02:07:09Z</dcterms:modified>
  <dc:title>3</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ADC8F9DEB10A460F8AF8BEC94309C433_13</vt:lpwstr>
  </property>
  <property fmtid="{D5CDD505-2E9C-101B-9397-08002B2CF9AE}" pid="4" name="KSOTemplateDocerSaveRecord">
    <vt:lpwstr>eyJoZGlkIjoiNDc5OWU4MTgyYmU5YzRiNWQ3NTkzZDhhYjJlYzJhYmUiLCJ1c2VySWQiOiI0OTQ3Nzk0NjQifQ==</vt:lpwstr>
  </property>
</Properties>
</file>