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color w:val="auto"/>
          <w:sz w:val="32"/>
          <w:szCs w:val="32"/>
          <w:highlight w:val="none"/>
        </w:rPr>
      </w:pPr>
    </w:p>
    <w:p>
      <w:pPr>
        <w:spacing w:before="159" w:beforeLines="50"/>
        <w:jc w:val="center"/>
        <w:rPr>
          <w:color w:val="auto"/>
          <w:spacing w:val="-10"/>
          <w:sz w:val="72"/>
          <w:szCs w:val="72"/>
          <w:highlight w:val="none"/>
        </w:rPr>
      </w:pPr>
    </w:p>
    <w:p>
      <w:pPr>
        <w:tabs>
          <w:tab w:val="left" w:pos="8400"/>
        </w:tabs>
        <w:spacing w:before="159" w:beforeLines="50"/>
        <w:jc w:val="center"/>
        <w:rPr>
          <w:color w:val="auto"/>
          <w:sz w:val="72"/>
          <w:szCs w:val="72"/>
          <w:highlight w:val="none"/>
        </w:rPr>
      </w:pPr>
      <w:bookmarkStart w:id="0" w:name="OLE_LINK14"/>
      <w:r>
        <w:rPr>
          <w:color w:val="auto"/>
          <w:sz w:val="72"/>
          <w:szCs w:val="72"/>
          <w:highlight w:val="none"/>
        </w:rPr>
        <w:t>竞争性磋商文件</w:t>
      </w:r>
      <w:bookmarkEnd w:id="0"/>
    </w:p>
    <w:p>
      <w:pPr>
        <w:snapToGrid w:val="0"/>
        <w:spacing w:before="159" w:beforeLines="50" w:line="360" w:lineRule="auto"/>
        <w:rPr>
          <w:color w:val="auto"/>
          <w:sz w:val="30"/>
          <w:szCs w:val="72"/>
          <w:highlight w:val="none"/>
        </w:rPr>
      </w:pPr>
    </w:p>
    <w:p>
      <w:pPr>
        <w:snapToGrid w:val="0"/>
        <w:spacing w:before="159" w:beforeLines="50" w:line="360" w:lineRule="auto"/>
        <w:jc w:val="center"/>
        <w:rPr>
          <w:color w:val="auto"/>
          <w:sz w:val="30"/>
          <w:szCs w:val="72"/>
          <w:highlight w:val="none"/>
        </w:rPr>
      </w:pPr>
    </w:p>
    <w:p>
      <w:pPr>
        <w:snapToGrid w:val="0"/>
        <w:spacing w:before="159" w:beforeLines="50" w:line="360" w:lineRule="auto"/>
        <w:rPr>
          <w:color w:val="auto"/>
          <w:sz w:val="30"/>
          <w:szCs w:val="72"/>
          <w:highlight w:val="none"/>
        </w:rPr>
      </w:pPr>
    </w:p>
    <w:p>
      <w:pPr>
        <w:snapToGrid w:val="0"/>
        <w:spacing w:before="159" w:beforeLines="50" w:line="400" w:lineRule="exact"/>
        <w:ind w:firstLine="1800" w:firstLineChars="600"/>
        <w:rPr>
          <w:rFonts w:hint="default" w:ascii="Times New Roman" w:hAnsi="Times New Roman" w:eastAsia="宋体"/>
          <w:color w:val="auto"/>
          <w:sz w:val="30"/>
          <w:szCs w:val="72"/>
          <w:highlight w:val="none"/>
          <w:shd w:val="clear" w:color="auto" w:fill="auto"/>
          <w:lang w:eastAsia="zh-CN"/>
        </w:rPr>
      </w:pPr>
      <w:bookmarkStart w:id="1" w:name="OLE_LINK2"/>
      <w:r>
        <w:rPr>
          <w:color w:val="auto"/>
          <w:sz w:val="30"/>
          <w:szCs w:val="72"/>
          <w:highlight w:val="none"/>
        </w:rPr>
        <w:t>项目名称：</w:t>
      </w:r>
      <w:bookmarkStart w:id="2" w:name="OLE_LINK5"/>
      <w:bookmarkStart w:id="3" w:name="OLE_LINK4"/>
      <w:r>
        <w:rPr>
          <w:rFonts w:hint="default" w:ascii="Times New Roman" w:hAnsi="Times New Roman" w:eastAsia="宋体"/>
          <w:color w:val="auto"/>
          <w:sz w:val="30"/>
          <w:szCs w:val="72"/>
          <w:highlight w:val="none"/>
          <w:shd w:val="clear" w:color="auto" w:fill="auto"/>
          <w:lang w:eastAsia="zh-CN"/>
        </w:rPr>
        <w:t>中国—东盟经贸中心线上服务平台</w:t>
      </w:r>
    </w:p>
    <w:p>
      <w:pPr>
        <w:snapToGrid w:val="0"/>
        <w:spacing w:before="159" w:beforeLines="50" w:line="400" w:lineRule="exact"/>
        <w:ind w:firstLine="3300" w:firstLineChars="1100"/>
        <w:rPr>
          <w:rFonts w:hint="default" w:ascii="宋体" w:hAnsi="宋体" w:eastAsia="宋体"/>
          <w:color w:val="auto"/>
          <w:sz w:val="30"/>
          <w:szCs w:val="30"/>
          <w:highlight w:val="none"/>
          <w:lang w:val="en-US" w:eastAsia="zh-CN"/>
        </w:rPr>
      </w:pPr>
      <w:r>
        <w:rPr>
          <w:rFonts w:hint="default" w:ascii="Times New Roman" w:hAnsi="Times New Roman" w:eastAsia="宋体"/>
          <w:color w:val="auto"/>
          <w:sz w:val="30"/>
          <w:szCs w:val="72"/>
          <w:highlight w:val="none"/>
          <w:shd w:val="clear" w:color="auto" w:fill="auto"/>
          <w:lang w:eastAsia="zh-CN"/>
        </w:rPr>
        <w:t>（一期）建设项目</w:t>
      </w:r>
    </w:p>
    <w:bookmarkEnd w:id="1"/>
    <w:bookmarkEnd w:id="2"/>
    <w:bookmarkEnd w:id="3"/>
    <w:p>
      <w:pPr>
        <w:snapToGrid w:val="0"/>
        <w:spacing w:before="159" w:beforeLines="50" w:line="360" w:lineRule="auto"/>
        <w:ind w:firstLine="1800" w:firstLineChars="600"/>
        <w:rPr>
          <w:color w:val="auto"/>
          <w:sz w:val="30"/>
          <w:szCs w:val="72"/>
          <w:highlight w:val="none"/>
        </w:rPr>
      </w:pPr>
      <w:r>
        <w:rPr>
          <w:color w:val="auto"/>
          <w:sz w:val="30"/>
          <w:szCs w:val="72"/>
          <w:highlight w:val="none"/>
        </w:rPr>
        <w:t>采购单位：广西东博国际</w:t>
      </w:r>
      <w:bookmarkStart w:id="4" w:name="OLE_LINK3"/>
      <w:r>
        <w:rPr>
          <w:rFonts w:hint="eastAsia"/>
          <w:color w:val="auto"/>
          <w:sz w:val="30"/>
          <w:szCs w:val="72"/>
          <w:highlight w:val="none"/>
          <w:lang w:val="en-US" w:eastAsia="zh-CN"/>
        </w:rPr>
        <w:t>经贸投资</w:t>
      </w:r>
      <w:r>
        <w:rPr>
          <w:color w:val="auto"/>
          <w:sz w:val="30"/>
          <w:szCs w:val="72"/>
          <w:highlight w:val="none"/>
        </w:rPr>
        <w:t>有限公司</w:t>
      </w:r>
      <w:bookmarkEnd w:id="4"/>
    </w:p>
    <w:p>
      <w:pPr>
        <w:snapToGrid w:val="0"/>
        <w:spacing w:before="159" w:beforeLines="50" w:line="360" w:lineRule="auto"/>
        <w:ind w:firstLine="1080" w:firstLineChars="360"/>
        <w:rPr>
          <w:color w:val="auto"/>
          <w:sz w:val="30"/>
          <w:szCs w:val="72"/>
          <w:highlight w:val="none"/>
        </w:rPr>
      </w:pPr>
    </w:p>
    <w:p>
      <w:pPr>
        <w:snapToGrid w:val="0"/>
        <w:spacing w:before="159" w:beforeLines="50" w:line="360" w:lineRule="auto"/>
        <w:ind w:firstLine="1080" w:firstLineChars="360"/>
        <w:rPr>
          <w:color w:val="auto"/>
          <w:sz w:val="30"/>
          <w:szCs w:val="72"/>
          <w:highlight w:val="none"/>
        </w:rPr>
      </w:pPr>
    </w:p>
    <w:p>
      <w:pPr>
        <w:snapToGrid w:val="0"/>
        <w:spacing w:before="159" w:beforeLines="50" w:line="360" w:lineRule="auto"/>
        <w:ind w:firstLine="1080" w:firstLineChars="360"/>
        <w:rPr>
          <w:color w:val="auto"/>
          <w:sz w:val="30"/>
          <w:szCs w:val="72"/>
          <w:highlight w:val="none"/>
        </w:rPr>
      </w:pPr>
    </w:p>
    <w:p>
      <w:pPr>
        <w:snapToGrid w:val="0"/>
        <w:spacing w:before="159" w:beforeLines="50" w:line="360" w:lineRule="auto"/>
        <w:ind w:firstLine="1080" w:firstLineChars="360"/>
        <w:rPr>
          <w:color w:val="auto"/>
          <w:sz w:val="30"/>
          <w:szCs w:val="72"/>
          <w:highlight w:val="none"/>
        </w:rPr>
      </w:pPr>
    </w:p>
    <w:p>
      <w:pPr>
        <w:snapToGrid w:val="0"/>
        <w:spacing w:before="159" w:beforeLines="50" w:line="360" w:lineRule="auto"/>
        <w:jc w:val="center"/>
        <w:rPr>
          <w:rFonts w:hint="eastAsia"/>
          <w:color w:val="auto"/>
          <w:sz w:val="32"/>
          <w:szCs w:val="32"/>
          <w:highlight w:val="none"/>
        </w:rPr>
      </w:pPr>
      <w:r>
        <w:rPr>
          <w:rFonts w:hint="eastAsia"/>
          <w:color w:val="auto"/>
          <w:sz w:val="32"/>
          <w:szCs w:val="32"/>
          <w:highlight w:val="none"/>
        </w:rPr>
        <w:t>202</w:t>
      </w:r>
      <w:r>
        <w:rPr>
          <w:rFonts w:hint="eastAsia"/>
          <w:color w:val="auto"/>
          <w:sz w:val="32"/>
          <w:szCs w:val="32"/>
          <w:highlight w:val="none"/>
          <w:lang w:val="en-US" w:eastAsia="zh-CN"/>
        </w:rPr>
        <w:t>5</w:t>
      </w:r>
      <w:r>
        <w:rPr>
          <w:rFonts w:hint="eastAsia"/>
          <w:color w:val="auto"/>
          <w:sz w:val="32"/>
          <w:szCs w:val="32"/>
          <w:highlight w:val="none"/>
        </w:rPr>
        <w:t>年</w:t>
      </w:r>
      <w:r>
        <w:rPr>
          <w:rFonts w:hint="eastAsia"/>
          <w:color w:val="auto"/>
          <w:sz w:val="32"/>
          <w:szCs w:val="32"/>
          <w:highlight w:val="none"/>
          <w:lang w:val="en-US" w:eastAsia="zh-CN"/>
        </w:rPr>
        <w:t>12</w:t>
      </w:r>
      <w:r>
        <w:rPr>
          <w:rFonts w:hint="eastAsia"/>
          <w:color w:val="auto"/>
          <w:sz w:val="32"/>
          <w:szCs w:val="32"/>
          <w:highlight w:val="none"/>
        </w:rPr>
        <w:t>月</w:t>
      </w:r>
    </w:p>
    <w:p>
      <w:pPr>
        <w:snapToGrid w:val="0"/>
        <w:spacing w:before="159" w:beforeLines="50" w:line="360" w:lineRule="auto"/>
        <w:rPr>
          <w:color w:val="auto"/>
          <w:sz w:val="30"/>
          <w:szCs w:val="72"/>
          <w:highlight w:val="none"/>
        </w:rPr>
      </w:pPr>
    </w:p>
    <w:p>
      <w:pPr>
        <w:pStyle w:val="8"/>
        <w:spacing w:before="120" w:after="120" w:line="360" w:lineRule="auto"/>
        <w:jc w:val="center"/>
        <w:rPr>
          <w:rFonts w:ascii="Times New Roman" w:hAnsi="Times New Roman" w:cs="Times New Roman"/>
          <w:color w:val="auto"/>
          <w:highlight w:val="none"/>
        </w:rPr>
      </w:pPr>
    </w:p>
    <w:p>
      <w:pPr>
        <w:pStyle w:val="8"/>
        <w:spacing w:before="120" w:after="120" w:line="360" w:lineRule="auto"/>
        <w:jc w:val="center"/>
        <w:rPr>
          <w:rFonts w:ascii="Times New Roman" w:hAnsi="Times New Roman" w:cs="Times New Roman"/>
          <w:color w:val="auto"/>
          <w:highlight w:val="none"/>
        </w:rPr>
      </w:pPr>
    </w:p>
    <w:p>
      <w:pPr>
        <w:spacing w:line="400" w:lineRule="exact"/>
        <w:jc w:val="center"/>
        <w:rPr>
          <w:color w:val="auto"/>
          <w:sz w:val="32"/>
          <w:szCs w:val="32"/>
          <w:highlight w:val="none"/>
        </w:rPr>
      </w:pPr>
    </w:p>
    <w:p>
      <w:pPr>
        <w:jc w:val="center"/>
        <w:rPr>
          <w:color w:val="auto"/>
          <w:sz w:val="44"/>
          <w:szCs w:val="44"/>
          <w:highlight w:val="none"/>
        </w:rPr>
      </w:pPr>
    </w:p>
    <w:p>
      <w:pPr>
        <w:jc w:val="center"/>
        <w:rPr>
          <w:color w:val="auto"/>
          <w:sz w:val="44"/>
          <w:szCs w:val="44"/>
          <w:highlight w:val="none"/>
        </w:rPr>
      </w:pPr>
    </w:p>
    <w:p>
      <w:pPr>
        <w:jc w:val="center"/>
        <w:rPr>
          <w:color w:val="auto"/>
          <w:sz w:val="44"/>
          <w:szCs w:val="44"/>
          <w:highlight w:val="none"/>
        </w:rPr>
        <w:sectPr>
          <w:footerReference r:id="rId5" w:type="first"/>
          <w:footerReference r:id="rId3" w:type="default"/>
          <w:footerReference r:id="rId4" w:type="even"/>
          <w:pgSz w:w="11850" w:h="16783"/>
          <w:pgMar w:top="1247" w:right="1247" w:bottom="1247" w:left="1247" w:header="851" w:footer="992" w:gutter="0"/>
          <w:pgNumType w:start="0"/>
          <w:cols w:space="720" w:num="1"/>
          <w:titlePg/>
          <w:docGrid w:type="lines" w:linePitch="318" w:charSpace="0"/>
        </w:sectPr>
      </w:pPr>
    </w:p>
    <w:p>
      <w:pPr>
        <w:jc w:val="center"/>
        <w:rPr>
          <w:color w:val="auto"/>
          <w:sz w:val="44"/>
          <w:szCs w:val="44"/>
          <w:highlight w:val="none"/>
        </w:rPr>
      </w:pPr>
      <w:r>
        <w:rPr>
          <w:color w:val="auto"/>
          <w:sz w:val="44"/>
          <w:szCs w:val="44"/>
          <w:highlight w:val="none"/>
        </w:rPr>
        <w:t>目   录</w:t>
      </w:r>
    </w:p>
    <w:p>
      <w:pPr>
        <w:jc w:val="center"/>
        <w:rPr>
          <w:color w:val="auto"/>
          <w:sz w:val="44"/>
          <w:szCs w:val="44"/>
          <w:highlight w:val="none"/>
        </w:rPr>
      </w:pPr>
    </w:p>
    <w:p>
      <w:pPr>
        <w:pStyle w:val="11"/>
        <w:tabs>
          <w:tab w:val="right" w:leader="dot" w:pos="9346"/>
        </w:tabs>
        <w:rPr>
          <w:rFonts w:hint="eastAsia" w:ascii="宋体" w:hAnsi="宋体" w:eastAsia="宋体" w:cs="宋体"/>
          <w:color w:val="auto"/>
          <w:sz w:val="28"/>
          <w:szCs w:val="32"/>
          <w:highlight w:val="none"/>
        </w:rPr>
      </w:pPr>
      <w:r>
        <w:rPr>
          <w:color w:val="auto"/>
          <w:sz w:val="32"/>
          <w:szCs w:val="32"/>
          <w:highlight w:val="none"/>
        </w:rPr>
        <w:fldChar w:fldCharType="begin"/>
      </w:r>
      <w:r>
        <w:rPr>
          <w:color w:val="auto"/>
          <w:sz w:val="32"/>
          <w:szCs w:val="32"/>
          <w:highlight w:val="none"/>
        </w:rPr>
        <w:instrText xml:space="preserve"> TOC \o "1-1" \h \z \u </w:instrText>
      </w:r>
      <w:r>
        <w:rPr>
          <w:color w:val="auto"/>
          <w:sz w:val="32"/>
          <w:szCs w:val="32"/>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"_Toc77937041"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第一章  竞争性磋商公告</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_Toc77937041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pPr>
        <w:pStyle w:val="11"/>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"_Toc77937042"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第二章  竞标人须知前附表</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_Toc77937042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5</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pPr>
        <w:pStyle w:val="11"/>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"_Toc77937043"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第三章  采购项目需求</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_Toc77937043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13</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pPr>
        <w:pStyle w:val="11"/>
        <w:tabs>
          <w:tab w:val="right" w:leader="dot" w:pos="9346"/>
        </w:tabs>
        <w:rPr>
          <w:rFonts w:hint="default" w:ascii="宋体" w:hAnsi="宋体" w:eastAsia="宋体" w:cs="宋体"/>
          <w:color w:val="auto"/>
          <w:sz w:val="28"/>
          <w:szCs w:val="32"/>
          <w:highlight w:val="none"/>
          <w:lang w:val="en-US" w:eastAsia="zh-CN"/>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"_Toc77937044"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第四章  评审方法</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end"/>
      </w:r>
      <w:r>
        <w:rPr>
          <w:rFonts w:hint="eastAsia" w:ascii="宋体" w:hAnsi="宋体" w:cs="宋体"/>
          <w:color w:val="auto"/>
          <w:sz w:val="28"/>
          <w:szCs w:val="36"/>
          <w:highlight w:val="none"/>
          <w:lang w:val="en-US" w:eastAsia="zh-CN"/>
        </w:rPr>
        <w:t>16</w:t>
      </w:r>
    </w:p>
    <w:p>
      <w:pPr>
        <w:pStyle w:val="11"/>
        <w:tabs>
          <w:tab w:val="right" w:leader="dot" w:pos="9346"/>
        </w:tabs>
        <w:rPr>
          <w:rFonts w:hint="eastAsia" w:ascii="宋体" w:hAnsi="宋体" w:eastAsia="宋体" w:cs="宋体"/>
          <w:color w:val="auto"/>
          <w:sz w:val="28"/>
          <w:szCs w:val="3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"_Toc77937045"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第五章  磋商响应文件格式</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PAGEREF _Toc77937045 \h </w:instrText>
      </w:r>
      <w:r>
        <w:rPr>
          <w:rFonts w:hint="eastAsia" w:ascii="宋体" w:hAnsi="宋体" w:eastAsia="宋体" w:cs="宋体"/>
          <w:color w:val="auto"/>
          <w:sz w:val="28"/>
          <w:szCs w:val="36"/>
          <w:highlight w:val="none"/>
        </w:rPr>
        <w:fldChar w:fldCharType="separate"/>
      </w:r>
      <w:r>
        <w:rPr>
          <w:rFonts w:hint="eastAsia" w:ascii="宋体" w:hAnsi="宋体" w:eastAsia="宋体" w:cs="宋体"/>
          <w:color w:val="auto"/>
          <w:sz w:val="28"/>
          <w:szCs w:val="36"/>
          <w:highlight w:val="none"/>
        </w:rPr>
        <w:t>19</w:t>
      </w:r>
      <w:r>
        <w:rPr>
          <w:rFonts w:hint="eastAsia" w:ascii="宋体" w:hAnsi="宋体" w:eastAsia="宋体" w:cs="宋体"/>
          <w:color w:val="auto"/>
          <w:sz w:val="28"/>
          <w:szCs w:val="36"/>
          <w:highlight w:val="none"/>
        </w:rPr>
        <w:fldChar w:fldCharType="end"/>
      </w:r>
      <w:r>
        <w:rPr>
          <w:rFonts w:hint="eastAsia" w:ascii="宋体" w:hAnsi="宋体" w:eastAsia="宋体" w:cs="宋体"/>
          <w:color w:val="auto"/>
          <w:sz w:val="28"/>
          <w:szCs w:val="36"/>
          <w:highlight w:val="none"/>
        </w:rPr>
        <w:fldChar w:fldCharType="end"/>
      </w:r>
    </w:p>
    <w:p>
      <w:pPr>
        <w:pStyle w:val="11"/>
        <w:tabs>
          <w:tab w:val="right" w:leader="dot" w:pos="9346"/>
        </w:tabs>
        <w:rPr>
          <w:color w:val="auto"/>
          <w:szCs w:val="22"/>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"_Toc77937046" </w:instrText>
      </w:r>
      <w:r>
        <w:rPr>
          <w:rFonts w:hint="eastAsia" w:ascii="宋体" w:hAnsi="宋体" w:eastAsia="宋体" w:cs="宋体"/>
          <w:color w:val="auto"/>
          <w:sz w:val="28"/>
          <w:szCs w:val="36"/>
          <w:highlight w:val="none"/>
        </w:rPr>
        <w:fldChar w:fldCharType="separate"/>
      </w:r>
      <w:r>
        <w:rPr>
          <w:rStyle w:val="16"/>
          <w:rFonts w:hint="eastAsia" w:ascii="宋体" w:hAnsi="宋体" w:eastAsia="宋体" w:cs="宋体"/>
          <w:color w:val="auto"/>
          <w:sz w:val="28"/>
          <w:szCs w:val="36"/>
          <w:highlight w:val="none"/>
        </w:rPr>
        <w:t>第六章  合同主要条款</w:t>
      </w:r>
      <w:r>
        <w:rPr>
          <w:rFonts w:hint="eastAsia" w:ascii="宋体" w:hAnsi="宋体" w:eastAsia="宋体" w:cs="宋体"/>
          <w:color w:val="auto"/>
          <w:sz w:val="28"/>
          <w:szCs w:val="36"/>
          <w:highlight w:val="none"/>
        </w:rPr>
        <w:tab/>
      </w:r>
      <w:r>
        <w:rPr>
          <w:rFonts w:hint="eastAsia" w:ascii="宋体" w:hAnsi="宋体" w:eastAsia="宋体" w:cs="宋体"/>
          <w:color w:val="auto"/>
          <w:sz w:val="28"/>
          <w:szCs w:val="36"/>
          <w:highlight w:val="none"/>
        </w:rPr>
        <w:fldChar w:fldCharType="end"/>
      </w:r>
      <w:r>
        <w:rPr>
          <w:rFonts w:hint="eastAsia" w:ascii="宋体" w:hAnsi="宋体" w:cs="宋体"/>
          <w:color w:val="auto"/>
          <w:sz w:val="28"/>
          <w:szCs w:val="36"/>
          <w:highlight w:val="none"/>
          <w:lang w:val="en-US" w:eastAsia="zh-CN"/>
        </w:rPr>
        <w:t>29</w:t>
      </w:r>
    </w:p>
    <w:p>
      <w:pPr>
        <w:spacing w:line="400" w:lineRule="exact"/>
        <w:jc w:val="left"/>
        <w:rPr>
          <w:rFonts w:hint="eastAsia" w:eastAsia="宋体"/>
          <w:color w:val="auto"/>
          <w:sz w:val="32"/>
          <w:szCs w:val="32"/>
          <w:highlight w:val="none"/>
          <w:lang w:eastAsia="zh-CN"/>
        </w:rPr>
      </w:pPr>
      <w:r>
        <w:rPr>
          <w:color w:val="auto"/>
          <w:szCs w:val="32"/>
          <w:highlight w:val="none"/>
        </w:rPr>
        <w:fldChar w:fldCharType="end"/>
      </w:r>
      <w:r>
        <w:rPr>
          <w:rFonts w:hint="eastAsia"/>
          <w:color w:val="auto"/>
          <w:szCs w:val="32"/>
          <w:highlight w:val="none"/>
          <w:lang w:eastAsia="zh-CN"/>
        </w:rPr>
        <w:tab/>
      </w:r>
    </w:p>
    <w:p>
      <w:pPr>
        <w:spacing w:line="400" w:lineRule="exact"/>
        <w:jc w:val="left"/>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80" w:lineRule="auto"/>
        <w:jc w:val="center"/>
        <w:rPr>
          <w:color w:val="auto"/>
          <w:sz w:val="44"/>
          <w:szCs w:val="20"/>
          <w:highlight w:val="none"/>
        </w:rPr>
        <w:sectPr>
          <w:footerReference r:id="rId7" w:type="first"/>
          <w:footerReference r:id="rId6" w:type="default"/>
          <w:pgSz w:w="11850" w:h="16783"/>
          <w:pgMar w:top="1247" w:right="1247" w:bottom="1247" w:left="1247" w:header="851" w:footer="992" w:gutter="0"/>
          <w:pgNumType w:start="0"/>
          <w:cols w:space="720" w:num="1"/>
          <w:titlePg/>
          <w:docGrid w:type="lines" w:linePitch="318" w:charSpace="0"/>
        </w:sect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480" w:lineRule="auto"/>
        <w:rPr>
          <w:color w:val="auto"/>
          <w:sz w:val="44"/>
          <w:szCs w:val="20"/>
          <w:highlight w:val="none"/>
        </w:rPr>
      </w:pPr>
    </w:p>
    <w:p>
      <w:pPr>
        <w:spacing w:line="480" w:lineRule="auto"/>
        <w:rPr>
          <w:color w:val="auto"/>
          <w:sz w:val="44"/>
          <w:szCs w:val="20"/>
          <w:highlight w:val="none"/>
        </w:r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pStyle w:val="2"/>
        <w:rPr>
          <w:rFonts w:hint="eastAsia"/>
          <w:color w:val="auto"/>
          <w:szCs w:val="20"/>
          <w:highlight w:val="none"/>
          <w:lang w:eastAsia="zh-CN"/>
        </w:rPr>
      </w:pPr>
      <w:bookmarkStart w:id="5" w:name="_Toc77937041"/>
      <w:r>
        <w:rPr>
          <w:color w:val="auto"/>
          <w:szCs w:val="20"/>
          <w:highlight w:val="none"/>
        </w:rPr>
        <w:t>第一章  竞争性磋商公告</w:t>
      </w:r>
      <w:bookmarkEnd w:id="5"/>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480" w:lineRule="auto"/>
        <w:jc w:val="center"/>
        <w:rPr>
          <w:color w:val="auto"/>
          <w:sz w:val="44"/>
          <w:szCs w:val="20"/>
          <w:highlight w:val="none"/>
        </w:rPr>
      </w:pPr>
    </w:p>
    <w:p>
      <w:pPr>
        <w:spacing w:line="500" w:lineRule="exact"/>
        <w:jc w:val="center"/>
        <w:rPr>
          <w:rFonts w:hint="eastAsia" w:ascii="黑体" w:hAnsi="黑体" w:eastAsia="黑体"/>
          <w:color w:val="auto"/>
          <w:sz w:val="44"/>
          <w:szCs w:val="44"/>
          <w:highlight w:val="none"/>
          <w:shd w:val="clear" w:color="auto" w:fill="FFFFFF"/>
          <w:lang w:eastAsia="zh-CN"/>
        </w:rPr>
        <w:sectPr>
          <w:footerReference r:id="rId9" w:type="first"/>
          <w:footerReference r:id="rId8" w:type="default"/>
          <w:pgSz w:w="11850" w:h="16783"/>
          <w:pgMar w:top="1247" w:right="1247" w:bottom="1247" w:left="1247" w:header="851" w:footer="992" w:gutter="0"/>
          <w:pgNumType w:fmt="decimal" w:start="1"/>
          <w:cols w:space="720" w:num="1"/>
          <w:docGrid w:type="lines" w:linePitch="318" w:charSpace="0"/>
        </w:sectPr>
      </w:pPr>
      <w:bookmarkStart w:id="6" w:name="OLE_LINK8"/>
      <w:bookmarkStart w:id="7" w:name="OLE_LINK9"/>
    </w:p>
    <w:p>
      <w:pPr>
        <w:spacing w:line="500" w:lineRule="exact"/>
        <w:jc w:val="center"/>
        <w:rPr>
          <w:rFonts w:hint="eastAsia"/>
          <w:color w:val="auto"/>
          <w:highlight w:val="none"/>
        </w:rPr>
      </w:pPr>
      <w:r>
        <w:rPr>
          <w:rFonts w:hint="eastAsia" w:ascii="黑体" w:hAnsi="黑体" w:eastAsia="黑体"/>
          <w:color w:val="auto"/>
          <w:sz w:val="44"/>
          <w:szCs w:val="44"/>
          <w:highlight w:val="none"/>
          <w:shd w:val="clear" w:color="auto" w:fill="FFFFFF"/>
          <w:lang w:eastAsia="zh-CN"/>
        </w:rPr>
        <w:t>中国—东盟经贸中心线上服务平台（一期）建设项目采购</w:t>
      </w:r>
      <w:bookmarkEnd w:id="6"/>
      <w:bookmarkEnd w:id="7"/>
      <w:r>
        <w:rPr>
          <w:rFonts w:eastAsia="黑体"/>
          <w:color w:val="auto"/>
          <w:sz w:val="44"/>
          <w:szCs w:val="44"/>
          <w:highlight w:val="none"/>
        </w:rPr>
        <w:t>竞争</w:t>
      </w:r>
      <w:bookmarkStart w:id="8" w:name="OLE_LINK6"/>
      <w:bookmarkStart w:id="9" w:name="OLE_LINK7"/>
      <w:r>
        <w:rPr>
          <w:rFonts w:eastAsia="黑体"/>
          <w:color w:val="auto"/>
          <w:sz w:val="44"/>
          <w:szCs w:val="44"/>
          <w:highlight w:val="none"/>
        </w:rPr>
        <w:t>性</w:t>
      </w:r>
      <w:bookmarkEnd w:id="8"/>
      <w:bookmarkEnd w:id="9"/>
      <w:r>
        <w:rPr>
          <w:rFonts w:eastAsia="黑体"/>
          <w:color w:val="auto"/>
          <w:sz w:val="44"/>
          <w:szCs w:val="44"/>
          <w:highlight w:val="none"/>
        </w:rPr>
        <w:t>磋商公告</w:t>
      </w:r>
    </w:p>
    <w:p>
      <w:pPr>
        <w:spacing w:line="500" w:lineRule="exact"/>
        <w:jc w:val="right"/>
        <w:rPr>
          <w:color w:val="auto"/>
          <w:sz w:val="30"/>
          <w:szCs w:val="72"/>
          <w:highlight w:val="none"/>
        </w:rPr>
      </w:pP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广西东博国际</w:t>
      </w:r>
      <w:bookmarkStart w:id="10" w:name="OLE_LINK19"/>
      <w:bookmarkStart w:id="11" w:name="OLE_LINK18"/>
      <w:r>
        <w:rPr>
          <w:rFonts w:hint="eastAsia" w:ascii="Times New Roman Regular" w:hAnsi="Times New Roman Regular" w:eastAsia="方正仿宋_GB2312" w:cs="Times New Roman Regular"/>
          <w:b w:val="0"/>
          <w:color w:val="auto"/>
          <w:sz w:val="32"/>
          <w:szCs w:val="32"/>
          <w:highlight w:val="none"/>
          <w:lang w:val="en-US" w:eastAsia="zh-CN"/>
        </w:rPr>
        <w:t>经贸投资</w:t>
      </w:r>
      <w:r>
        <w:rPr>
          <w:rFonts w:hint="default" w:ascii="Times New Roman Regular" w:hAnsi="Times New Roman Regular" w:eastAsia="方正仿宋_GB2312" w:cs="Times New Roman Regular"/>
          <w:b w:val="0"/>
          <w:color w:val="auto"/>
          <w:sz w:val="32"/>
          <w:szCs w:val="32"/>
          <w:highlight w:val="none"/>
        </w:rPr>
        <w:t>有</w:t>
      </w:r>
      <w:bookmarkEnd w:id="10"/>
      <w:bookmarkEnd w:id="11"/>
      <w:r>
        <w:rPr>
          <w:rFonts w:hint="default" w:ascii="Times New Roman Regular" w:hAnsi="Times New Roman Regular" w:eastAsia="方正仿宋_GB2312" w:cs="Times New Roman Regular"/>
          <w:b w:val="0"/>
          <w:color w:val="auto"/>
          <w:sz w:val="32"/>
          <w:szCs w:val="32"/>
          <w:highlight w:val="none"/>
        </w:rPr>
        <w:t>限</w:t>
      </w:r>
      <w:bookmarkStart w:id="12" w:name="OLE_LINK12"/>
      <w:bookmarkStart w:id="13" w:name="OLE_LINK13"/>
      <w:r>
        <w:rPr>
          <w:rFonts w:hint="default" w:ascii="Times New Roman Regular" w:hAnsi="Times New Roman Regular" w:eastAsia="方正仿宋_GB2312" w:cs="Times New Roman Regular"/>
          <w:b w:val="0"/>
          <w:color w:val="auto"/>
          <w:sz w:val="32"/>
          <w:szCs w:val="32"/>
          <w:highlight w:val="none"/>
        </w:rPr>
        <w:t>公</w:t>
      </w:r>
      <w:bookmarkStart w:id="14" w:name="OLE_LINK16"/>
      <w:r>
        <w:rPr>
          <w:rFonts w:hint="default" w:ascii="Times New Roman Regular" w:hAnsi="Times New Roman Regular" w:eastAsia="方正仿宋_GB2312" w:cs="Times New Roman Regular"/>
          <w:b w:val="0"/>
          <w:color w:val="auto"/>
          <w:sz w:val="32"/>
          <w:szCs w:val="32"/>
          <w:highlight w:val="none"/>
        </w:rPr>
        <w:t>司</w:t>
      </w:r>
      <w:bookmarkEnd w:id="14"/>
      <w:r>
        <w:rPr>
          <w:rFonts w:hint="default" w:ascii="Times New Roman Regular" w:hAnsi="Times New Roman Regular" w:eastAsia="方正仿宋_GB2312" w:cs="Times New Roman Regular"/>
          <w:b w:val="0"/>
          <w:color w:val="auto"/>
          <w:sz w:val="32"/>
          <w:szCs w:val="32"/>
          <w:highlight w:val="none"/>
        </w:rPr>
        <w:t>拟</w:t>
      </w:r>
      <w:bookmarkEnd w:id="12"/>
      <w:bookmarkEnd w:id="13"/>
      <w:bookmarkStart w:id="15" w:name="OLE_LINK20"/>
      <w:bookmarkStart w:id="16" w:name="OLE_LINK21"/>
      <w:r>
        <w:rPr>
          <w:rFonts w:hint="default" w:ascii="Times New Roman Regular" w:hAnsi="Times New Roman Regular" w:eastAsia="方正仿宋_GB2312" w:cs="Times New Roman Regular"/>
          <w:b w:val="0"/>
          <w:color w:val="auto"/>
          <w:sz w:val="32"/>
          <w:szCs w:val="32"/>
          <w:highlight w:val="none"/>
        </w:rPr>
        <w:t>对</w:t>
      </w:r>
      <w:r>
        <w:rPr>
          <w:rFonts w:hint="eastAsia" w:ascii="Times New Roman Regular" w:hAnsi="Times New Roman Regular" w:eastAsia="方正仿宋_GB2312" w:cs="Times New Roman Regular"/>
          <w:color w:val="auto"/>
          <w:sz w:val="32"/>
          <w:szCs w:val="32"/>
          <w:highlight w:val="none"/>
          <w:u w:val="none"/>
          <w:shd w:val="clear" w:color="auto" w:fill="FFFFFF"/>
          <w:lang w:val="en-US" w:eastAsia="zh-CN"/>
        </w:rPr>
        <w:t>中国—东盟经贸中心线上服务平台（一期）建设项目</w:t>
      </w:r>
      <w:r>
        <w:rPr>
          <w:rFonts w:hint="default" w:ascii="Times New Roman Regular" w:hAnsi="Times New Roman Regular" w:eastAsia="方正仿宋_GB2312" w:cs="Times New Roman Regular"/>
          <w:b w:val="0"/>
          <w:color w:val="auto"/>
          <w:sz w:val="32"/>
          <w:szCs w:val="32"/>
          <w:highlight w:val="none"/>
        </w:rPr>
        <w:t>采购，现将有关事项公告如下：</w:t>
      </w:r>
    </w:p>
    <w:bookmarkEnd w:id="15"/>
    <w:bookmarkEnd w:id="16"/>
    <w:p>
      <w:pPr>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default" w:ascii="Times New Roman Regular" w:hAnsi="Times New Roman Regular" w:eastAsia="方正仿宋_GB2312" w:cs="Times New Roman Regular"/>
          <w:b/>
          <w:bCs/>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一、项目基本情况:</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Regular" w:hAnsi="Times New Roman Regular" w:eastAsia="方正仿宋_GB2312" w:cs="Times New Roman Regular"/>
          <w:color w:val="auto"/>
          <w:sz w:val="32"/>
          <w:szCs w:val="32"/>
          <w:highlight w:val="none"/>
          <w:shd w:val="clear" w:color="auto" w:fill="FFFFFF"/>
          <w:lang w:val="en-US" w:eastAsia="zh-CN"/>
        </w:rPr>
      </w:pPr>
      <w:r>
        <w:rPr>
          <w:rFonts w:hint="default" w:ascii="Times New Roman Regular" w:hAnsi="Times New Roman Regular" w:eastAsia="方正仿宋_GB2312" w:cs="Times New Roman Regular"/>
          <w:b w:val="0"/>
          <w:color w:val="auto"/>
          <w:sz w:val="32"/>
          <w:szCs w:val="32"/>
          <w:highlight w:val="none"/>
        </w:rPr>
        <w:t>项目名称：</w:t>
      </w:r>
      <w:bookmarkStart w:id="17" w:name="OLE_LINK54"/>
      <w:r>
        <w:rPr>
          <w:rFonts w:hint="eastAsia" w:ascii="Times New Roman Regular" w:hAnsi="Times New Roman Regular" w:eastAsia="方正仿宋_GB2312" w:cs="Times New Roman Regular"/>
          <w:color w:val="auto"/>
          <w:sz w:val="32"/>
          <w:szCs w:val="32"/>
          <w:highlight w:val="none"/>
          <w:shd w:val="clear" w:color="auto" w:fill="FFFFFF"/>
          <w:lang w:val="en-US" w:eastAsia="zh-CN"/>
        </w:rPr>
        <w:t>中国—东盟经贸中心线上服务平台（一期）建设项目</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采购方式：竞争性磋商</w:t>
      </w:r>
    </w:p>
    <w:p>
      <w:pPr>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预算金额：</w:t>
      </w:r>
      <w:r>
        <w:rPr>
          <w:rFonts w:hint="default" w:ascii="Times New Roman Regular" w:hAnsi="Times New Roman Regular" w:eastAsia="方正仿宋_GB2312" w:cs="Times New Roman Regular"/>
          <w:b w:val="0"/>
          <w:color w:val="auto"/>
          <w:sz w:val="32"/>
          <w:szCs w:val="32"/>
          <w:highlight w:val="none"/>
          <w:lang w:eastAsia="zh-CN"/>
        </w:rPr>
        <w:t>人民币</w:t>
      </w:r>
      <w:r>
        <w:rPr>
          <w:rFonts w:hint="default" w:ascii="Times New Roman Regular" w:hAnsi="Times New Roman Regular" w:eastAsia="方正仿宋_GB2312" w:cs="Times New Roman Regular"/>
          <w:b w:val="0"/>
          <w:color w:val="auto"/>
          <w:sz w:val="32"/>
          <w:szCs w:val="32"/>
          <w:highlight w:val="none"/>
          <w:lang w:val="en-US" w:eastAsia="zh-CN"/>
        </w:rPr>
        <w:t>:</w:t>
      </w:r>
      <w:r>
        <w:rPr>
          <w:rFonts w:hint="default" w:ascii="Times New Roman Regular" w:hAnsi="Times New Roman Regular" w:eastAsia="方正仿宋_GB2312" w:cs="Times New Roman Regular"/>
          <w:b w:val="0"/>
          <w:color w:val="auto"/>
          <w:sz w:val="32"/>
          <w:szCs w:val="32"/>
          <w:highlight w:val="none"/>
          <w:lang w:eastAsia="zh-CN"/>
          <w:woUserID w:val="2"/>
        </w:rPr>
        <w:t>壹</w:t>
      </w:r>
      <w:r>
        <w:rPr>
          <w:rFonts w:hint="default" w:ascii="Times New Roman Regular" w:hAnsi="Times New Roman Regular" w:eastAsia="方正仿宋_GB2312" w:cs="Times New Roman Regular"/>
          <w:b w:val="0"/>
          <w:color w:val="auto"/>
          <w:sz w:val="32"/>
          <w:szCs w:val="32"/>
          <w:highlight w:val="none"/>
          <w:lang w:val="en-US" w:eastAsia="zh-CN"/>
        </w:rPr>
        <w:t>拾</w:t>
      </w:r>
      <w:r>
        <w:rPr>
          <w:rFonts w:hint="eastAsia" w:ascii="Times New Roman Regular" w:hAnsi="Times New Roman Regular" w:eastAsia="方正仿宋_GB2312" w:cs="Times New Roman Regular"/>
          <w:b w:val="0"/>
          <w:color w:val="auto"/>
          <w:sz w:val="32"/>
          <w:szCs w:val="32"/>
          <w:highlight w:val="none"/>
          <w:lang w:val="en-US" w:eastAsia="zh-CN"/>
        </w:rPr>
        <w:t>玖</w:t>
      </w:r>
      <w:r>
        <w:rPr>
          <w:rFonts w:hint="default" w:ascii="Times New Roman Regular" w:hAnsi="Times New Roman Regular" w:eastAsia="方正仿宋_GB2312" w:cs="Times New Roman Regular"/>
          <w:b w:val="0"/>
          <w:color w:val="auto"/>
          <w:sz w:val="32"/>
          <w:szCs w:val="32"/>
          <w:highlight w:val="none"/>
          <w:lang w:val="en-US" w:eastAsia="zh-CN"/>
        </w:rPr>
        <w:t>万</w:t>
      </w:r>
      <w:r>
        <w:rPr>
          <w:rFonts w:hint="eastAsia" w:ascii="Times New Roman Regular" w:hAnsi="Times New Roman Regular" w:eastAsia="方正仿宋_GB2312" w:cs="Times New Roman Regular"/>
          <w:b w:val="0"/>
          <w:color w:val="auto"/>
          <w:sz w:val="32"/>
          <w:szCs w:val="32"/>
          <w:highlight w:val="none"/>
          <w:lang w:val="en-US" w:eastAsia="zh-CN"/>
        </w:rPr>
        <w:t>捌仟元</w:t>
      </w:r>
      <w:r>
        <w:rPr>
          <w:rFonts w:hint="default" w:ascii="Times New Roman Regular" w:hAnsi="Times New Roman Regular" w:eastAsia="方正仿宋_GB2312" w:cs="Times New Roman Regular"/>
          <w:b w:val="0"/>
          <w:color w:val="auto"/>
          <w:sz w:val="32"/>
          <w:szCs w:val="32"/>
          <w:highlight w:val="none"/>
          <w:lang w:eastAsia="zh-CN"/>
          <w:woUserID w:val="2"/>
        </w:rPr>
        <w:t>整</w:t>
      </w:r>
      <w:r>
        <w:rPr>
          <w:rFonts w:hint="default" w:ascii="Times New Roman Regular" w:hAnsi="Times New Roman Regular" w:eastAsia="方正仿宋_GB2312" w:cs="Times New Roman Regular"/>
          <w:b w:val="0"/>
          <w:color w:val="auto"/>
          <w:sz w:val="32"/>
          <w:szCs w:val="32"/>
          <w:highlight w:val="none"/>
        </w:rPr>
        <w:t>（</w:t>
      </w:r>
      <w:r>
        <w:rPr>
          <w:rFonts w:hint="default" w:ascii="Times New Roman Regular" w:hAnsi="Times New Roman Regular" w:eastAsia="方正仿宋_GB2312" w:cs="Times New Roman Regular"/>
          <w:b w:val="0"/>
          <w:color w:val="auto"/>
          <w:sz w:val="32"/>
          <w:szCs w:val="32"/>
          <w:highlight w:val="none"/>
          <w:lang w:val="en-US" w:eastAsia="zh-CN"/>
        </w:rPr>
        <w:t>￥</w:t>
      </w:r>
      <w:r>
        <w:rPr>
          <w:rFonts w:hint="default" w:ascii="Times New Roman Regular" w:hAnsi="Times New Roman Regular" w:eastAsia="方正仿宋_GB2312" w:cs="Times New Roman Regular"/>
          <w:b w:val="0"/>
          <w:color w:val="auto"/>
          <w:sz w:val="32"/>
          <w:szCs w:val="32"/>
          <w:highlight w:val="none"/>
          <w:lang w:eastAsia="zh-CN"/>
        </w:rPr>
        <w:t>：</w:t>
      </w:r>
      <w:r>
        <w:rPr>
          <w:rFonts w:hint="eastAsia" w:ascii="Times New Roman Regular" w:hAnsi="Times New Roman Regular" w:eastAsia="方正仿宋_GB2312" w:cs="Times New Roman Regular"/>
          <w:b w:val="0"/>
          <w:color w:val="auto"/>
          <w:sz w:val="32"/>
          <w:szCs w:val="32"/>
          <w:highlight w:val="none"/>
          <w:lang w:val="en-US" w:eastAsia="zh-CN"/>
        </w:rPr>
        <w:t>198000</w:t>
      </w:r>
      <w:r>
        <w:rPr>
          <w:rFonts w:hint="default" w:ascii="Times New Roman Regular" w:hAnsi="Times New Roman Regular" w:eastAsia="方正仿宋_GB2312" w:cs="Times New Roman Regular"/>
          <w:b w:val="0"/>
          <w:color w:val="auto"/>
          <w:sz w:val="32"/>
          <w:szCs w:val="32"/>
          <w:highlight w:val="none"/>
          <w:lang w:eastAsia="zh-CN"/>
          <w:woUserID w:val="2"/>
        </w:rPr>
        <w:t>.00</w:t>
      </w:r>
      <w:bookmarkStart w:id="58" w:name="_GoBack"/>
      <w:bookmarkEnd w:id="58"/>
      <w:r>
        <w:rPr>
          <w:rFonts w:hint="default" w:ascii="Times New Roman Regular" w:hAnsi="Times New Roman Regular" w:eastAsia="方正仿宋_GB2312" w:cs="Times New Roman Regular"/>
          <w:b w:val="0"/>
          <w:color w:val="auto"/>
          <w:sz w:val="32"/>
          <w:szCs w:val="32"/>
          <w:highlight w:val="none"/>
        </w:rPr>
        <w:t>）</w:t>
      </w:r>
    </w:p>
    <w:bookmarkEnd w:id="17"/>
    <w:p>
      <w:pPr>
        <w:pStyle w:val="3"/>
        <w:pageBreakBefore w:val="0"/>
        <w:widowControl w:val="0"/>
        <w:numPr>
          <w:ilvl w:val="0"/>
          <w:numId w:val="1"/>
        </w:numPr>
        <w:kinsoku/>
        <w:wordWrap/>
        <w:overflowPunct/>
        <w:topLinePunct w:val="0"/>
        <w:autoSpaceDE/>
        <w:autoSpaceDN/>
        <w:bidi w:val="0"/>
        <w:spacing w:before="0" w:after="0" w:line="560" w:lineRule="exact"/>
        <w:ind w:left="0" w:leftChars="0" w:firstLine="641" w:firstLineChars="200"/>
        <w:textAlignment w:val="auto"/>
        <w:rPr>
          <w:rFonts w:hint="default" w:ascii="Times New Roman Regular" w:hAnsi="Times New Roman Regular" w:eastAsia="方正仿宋_GB2312" w:cs="Times New Roman Regular"/>
          <w:b w:val="0"/>
          <w:bCs w:val="0"/>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采购组织形式：</w:t>
      </w:r>
      <w:r>
        <w:rPr>
          <w:rFonts w:hint="default" w:ascii="Times New Roman Regular" w:hAnsi="Times New Roman Regular" w:eastAsia="方正仿宋_GB2312" w:cs="Times New Roman Regular"/>
          <w:b w:val="0"/>
          <w:bCs w:val="0"/>
          <w:color w:val="auto"/>
          <w:sz w:val="32"/>
          <w:szCs w:val="32"/>
          <w:highlight w:val="none"/>
        </w:rPr>
        <w:t>企业自行采购</w:t>
      </w:r>
    </w:p>
    <w:p>
      <w:pPr>
        <w:keepNext w:val="0"/>
        <w:keepLines w:val="0"/>
        <w:pageBreakBefore w:val="0"/>
        <w:widowControl w:val="0"/>
        <w:numPr>
          <w:ilvl w:val="0"/>
          <w:numId w:val="1"/>
        </w:numPr>
        <w:kinsoku/>
        <w:wordWrap/>
        <w:overflowPunct/>
        <w:topLinePunct w:val="0"/>
        <w:autoSpaceDE/>
        <w:autoSpaceDN/>
        <w:bidi w:val="0"/>
        <w:adjustRightInd/>
        <w:snapToGrid/>
        <w:spacing w:after="160" w:line="560" w:lineRule="exact"/>
        <w:ind w:left="0" w:leftChars="0" w:firstLine="641" w:firstLineChars="20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采购需求：</w:t>
      </w:r>
    </w:p>
    <w:tbl>
      <w:tblPr>
        <w:tblStyle w:val="13"/>
        <w:tblW w:w="86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5130"/>
        <w:gridCol w:w="700"/>
        <w:gridCol w:w="18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both"/>
              <w:rPr>
                <w:rFonts w:hint="default" w:ascii="Times New Roman" w:hAnsi="Times New Roman" w:eastAsia="方正仿宋_GB2312" w:cs="Times New Roman"/>
                <w:bCs/>
                <w:color w:val="auto"/>
                <w:sz w:val="24"/>
                <w:szCs w:val="24"/>
                <w:highlight w:val="none"/>
              </w:rPr>
            </w:pPr>
            <w:r>
              <w:rPr>
                <w:rFonts w:hint="default" w:ascii="Times New Roman" w:hAnsi="Times New Roman" w:eastAsia="方正仿宋_GB2312" w:cs="Times New Roman"/>
                <w:color w:val="auto"/>
                <w:sz w:val="24"/>
                <w:szCs w:val="24"/>
                <w:highlight w:val="none"/>
              </w:rPr>
              <w:t>序号</w:t>
            </w:r>
          </w:p>
        </w:tc>
        <w:tc>
          <w:tcPr>
            <w:tcW w:w="51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bCs/>
                <w:color w:val="auto"/>
                <w:sz w:val="24"/>
                <w:szCs w:val="24"/>
                <w:highlight w:val="none"/>
              </w:rPr>
            </w:pPr>
            <w:r>
              <w:rPr>
                <w:rFonts w:hint="default" w:ascii="Times New Roman" w:hAnsi="Times New Roman" w:eastAsia="方正仿宋_GB2312" w:cs="Times New Roman"/>
                <w:bCs/>
                <w:color w:val="auto"/>
                <w:sz w:val="24"/>
                <w:szCs w:val="24"/>
                <w:highlight w:val="none"/>
              </w:rPr>
              <w:t>采购内容</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bCs/>
                <w:color w:val="auto"/>
                <w:sz w:val="24"/>
                <w:szCs w:val="24"/>
                <w:highlight w:val="none"/>
              </w:rPr>
            </w:pPr>
            <w:r>
              <w:rPr>
                <w:rFonts w:hint="default" w:ascii="Times New Roman" w:hAnsi="Times New Roman" w:eastAsia="方正仿宋_GB2312" w:cs="Times New Roman"/>
                <w:bCs/>
                <w:color w:val="auto"/>
                <w:sz w:val="24"/>
                <w:szCs w:val="24"/>
                <w:highlight w:val="none"/>
              </w:rPr>
              <w:t>数量</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bCs/>
                <w:color w:val="auto"/>
                <w:sz w:val="24"/>
                <w:szCs w:val="24"/>
                <w:highlight w:val="none"/>
              </w:rPr>
            </w:pPr>
            <w:bookmarkStart w:id="18" w:name="OLE_LINK55"/>
            <w:bookmarkStart w:id="19" w:name="OLE_LINK56"/>
            <w:r>
              <w:rPr>
                <w:rFonts w:hint="default" w:ascii="Times New Roman" w:hAnsi="Times New Roman" w:eastAsia="方正仿宋_GB2312" w:cs="Times New Roman"/>
                <w:bCs/>
                <w:color w:val="auto"/>
                <w:sz w:val="24"/>
                <w:szCs w:val="24"/>
                <w:highlight w:val="none"/>
              </w:rPr>
              <w:t>项目最高限价</w:t>
            </w:r>
          </w:p>
          <w:p>
            <w:pPr>
              <w:snapToGrid w:val="0"/>
              <w:spacing w:line="400" w:lineRule="exact"/>
              <w:jc w:val="center"/>
              <w:rPr>
                <w:rFonts w:hint="default" w:ascii="Times New Roman" w:hAnsi="Times New Roman" w:eastAsia="方正仿宋_GB2312" w:cs="Times New Roman"/>
                <w:bCs/>
                <w:color w:val="auto"/>
                <w:sz w:val="24"/>
                <w:szCs w:val="24"/>
                <w:highlight w:val="none"/>
              </w:rPr>
            </w:pPr>
            <w:r>
              <w:rPr>
                <w:rFonts w:hint="default" w:ascii="Times New Roman" w:hAnsi="Times New Roman" w:eastAsia="方正仿宋_GB2312" w:cs="Times New Roman"/>
                <w:bCs/>
                <w:color w:val="auto"/>
                <w:sz w:val="24"/>
                <w:szCs w:val="24"/>
                <w:highlight w:val="none"/>
              </w:rPr>
              <w:t>（元）</w:t>
            </w:r>
            <w:bookmarkEnd w:id="18"/>
            <w:bookmarkEnd w:id="1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1</w:t>
            </w:r>
          </w:p>
        </w:tc>
        <w:tc>
          <w:tcPr>
            <w:tcW w:w="513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Times New Roman" w:hAnsi="Times New Roman" w:eastAsia="方正仿宋_GB2312" w:cs="Times New Roman"/>
                <w:color w:val="auto"/>
                <w:sz w:val="24"/>
                <w:szCs w:val="24"/>
                <w:highlight w:val="none"/>
              </w:rPr>
            </w:pPr>
            <w:bookmarkStart w:id="20" w:name="OLE_LINK34"/>
            <w:bookmarkStart w:id="21" w:name="OLE_LINK33"/>
            <w:r>
              <w:rPr>
                <w:rFonts w:hint="default" w:ascii="Times New Roman" w:hAnsi="Times New Roman" w:eastAsia="方正仿宋_GB2312" w:cs="Times New Roman"/>
                <w:color w:val="auto"/>
                <w:sz w:val="24"/>
                <w:szCs w:val="24"/>
                <w:highlight w:val="none"/>
                <w:lang w:val="en-US" w:eastAsia="zh-CN"/>
              </w:rPr>
              <w:t>中国—东盟经贸中心线上服务平台（一期）建设</w:t>
            </w:r>
            <w:r>
              <w:rPr>
                <w:rFonts w:hint="default" w:ascii="Times New Roman" w:hAnsi="Times New Roman" w:eastAsia="方正仿宋_GB2312" w:cs="Times New Roman"/>
                <w:color w:val="auto"/>
                <w:sz w:val="24"/>
                <w:szCs w:val="24"/>
                <w:highlight w:val="none"/>
              </w:rPr>
              <w:t>项目，具体</w:t>
            </w:r>
            <w:bookmarkStart w:id="22" w:name="OLE_LINK28"/>
            <w:r>
              <w:rPr>
                <w:rFonts w:hint="default" w:ascii="Times New Roman" w:hAnsi="Times New Roman" w:eastAsia="方正仿宋_GB2312" w:cs="Times New Roman"/>
                <w:color w:val="auto"/>
                <w:sz w:val="24"/>
                <w:szCs w:val="24"/>
                <w:highlight w:val="none"/>
              </w:rPr>
              <w:t>详见</w:t>
            </w:r>
            <w:bookmarkEnd w:id="22"/>
            <w:r>
              <w:rPr>
                <w:rFonts w:hint="default" w:ascii="Times New Roman" w:hAnsi="Times New Roman" w:eastAsia="方正仿宋_GB2312" w:cs="Times New Roman"/>
                <w:color w:val="auto"/>
                <w:sz w:val="24"/>
                <w:szCs w:val="24"/>
                <w:highlight w:val="none"/>
              </w:rPr>
              <w:t>竞争性磋商</w:t>
            </w:r>
            <w:bookmarkEnd w:id="20"/>
            <w:bookmarkEnd w:id="21"/>
            <w:r>
              <w:rPr>
                <w:rFonts w:hint="default" w:ascii="Times New Roman" w:hAnsi="Times New Roman" w:eastAsia="方正仿宋_GB2312" w:cs="Times New Roman"/>
                <w:color w:val="auto"/>
                <w:sz w:val="24"/>
                <w:szCs w:val="24"/>
                <w:highlight w:val="none"/>
              </w:rPr>
              <w:t>文件《服务内容及目标》</w:t>
            </w:r>
            <w:r>
              <w:rPr>
                <w:rFonts w:hint="default" w:ascii="Times New Roman" w:hAnsi="Times New Roman" w:eastAsia="方正仿宋_GB2312" w:cs="Times New Roman"/>
                <w:color w:val="auto"/>
                <w:sz w:val="24"/>
                <w:szCs w:val="24"/>
                <w:highlight w:val="none"/>
                <w:lang w:val="en-US" w:eastAsia="zh-CN"/>
              </w:rPr>
              <w:t>及项目需求清单</w:t>
            </w:r>
            <w:r>
              <w:rPr>
                <w:rFonts w:hint="default" w:ascii="Times New Roman" w:hAnsi="Times New Roman" w:eastAsia="方正仿宋_GB2312" w:cs="Times New Roman"/>
                <w:color w:val="auto"/>
                <w:sz w:val="24"/>
                <w:szCs w:val="24"/>
                <w:highlight w:val="none"/>
              </w:rPr>
              <w:t>。</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1</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2312" w:cs="Times New Roman"/>
                <w:color w:val="auto"/>
                <w:sz w:val="24"/>
                <w:szCs w:val="24"/>
                <w:highlight w:val="none"/>
                <w:lang w:val="en-US" w:eastAsia="zh-CN"/>
              </w:rPr>
            </w:pPr>
            <w:r>
              <w:rPr>
                <w:rFonts w:hint="default" w:ascii="Times New Roman" w:hAnsi="Times New Roman" w:eastAsia="方正仿宋_GB2312" w:cs="Times New Roman"/>
                <w:color w:val="auto"/>
                <w:sz w:val="24"/>
                <w:szCs w:val="24"/>
                <w:highlight w:val="none"/>
                <w:lang w:val="en-US" w:eastAsia="zh-CN"/>
              </w:rPr>
              <w:t>198000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说明</w:t>
            </w:r>
          </w:p>
        </w:tc>
        <w:tc>
          <w:tcPr>
            <w:tcW w:w="771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highlight w:val="none"/>
              </w:rPr>
              <w:t>竞标人投标总价不能超过以上最高限价，否则投标无效。</w:t>
            </w:r>
          </w:p>
        </w:tc>
      </w:tr>
    </w:tbl>
    <w:p>
      <w:pPr>
        <w:keepNext w:val="0"/>
        <w:keepLines w:val="0"/>
        <w:pageBreakBefore w:val="0"/>
        <w:widowControl w:val="0"/>
        <w:numPr>
          <w:ilvl w:val="0"/>
          <w:numId w:val="1"/>
        </w:numPr>
        <w:kinsoku/>
        <w:wordWrap/>
        <w:overflowPunct/>
        <w:topLinePunct w:val="0"/>
        <w:autoSpaceDE/>
        <w:autoSpaceDN/>
        <w:bidi w:val="0"/>
        <w:adjustRightInd/>
        <w:snapToGrid/>
        <w:spacing w:after="160" w:line="600" w:lineRule="exact"/>
        <w:ind w:left="0" w:leftChars="0" w:firstLine="641" w:firstLineChars="20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竞标人资格：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rPr>
      </w:pPr>
      <w:bookmarkStart w:id="23" w:name="heading_13"/>
      <w:r>
        <w:rPr>
          <w:rFonts w:hint="default" w:ascii="Times New Roman" w:hAnsi="Times New Roman" w:eastAsia="楷体" w:cs="Times New Roman"/>
          <w:sz w:val="32"/>
          <w:szCs w:val="32"/>
          <w:highlight w:val="none"/>
        </w:rPr>
        <w:t>（一）基础条件</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1.应征人应具备独立法人资格，营业执照经营范围包含“软件开发”“信息技术服务”等相关类目。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2.应征人应守诚信、形象好、实力强、服务能力强且具备履约能力；应为未被 “信用中国” 列入 “黑名单”、未因虚假宣传、数据造假等行为被行政处罚。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3.应征人近三年内无违法违规记录，无重大负面舆情。</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承诺并保证，不得透露任何经贸中心认为的保密信息，不得以任何形式关联经贸中心进行未经授权的商业宣传。</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项目建成后，平台所有权及相关数据归属经贸中心所有，应征人不得私自留存、使用或泄露平台用户信息。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rPr>
      </w:pPr>
      <w:bookmarkStart w:id="24" w:name="heading_14"/>
      <w:r>
        <w:rPr>
          <w:rFonts w:hint="default" w:ascii="Times New Roman" w:hAnsi="Times New Roman" w:eastAsia="楷体" w:cs="Times New Roman"/>
          <w:sz w:val="32"/>
          <w:szCs w:val="32"/>
          <w:highlight w:val="none"/>
        </w:rPr>
        <w:t>（二）团队与经验要求</w:t>
      </w:r>
      <w:bookmarkEnd w:id="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为项目单独设立专业团队≥10</w:t>
      </w:r>
      <w:r>
        <w:rPr>
          <w:rFonts w:hint="default" w:ascii="Times New Roman" w:hAnsi="Times New Roman" w:eastAsia="仿宋_GB2312" w:cs="Times New Roman"/>
          <w:sz w:val="32"/>
          <w:szCs w:val="32"/>
          <w:highlight w:val="none"/>
          <w:lang w:val="en-US" w:eastAsia="zh-CN"/>
        </w:rPr>
        <w:t>人</w:t>
      </w:r>
      <w:r>
        <w:rPr>
          <w:rFonts w:hint="default" w:ascii="Times New Roman" w:hAnsi="Times New Roman" w:eastAsia="仿宋_GB2312" w:cs="Times New Roman"/>
          <w:sz w:val="32"/>
          <w:szCs w:val="32"/>
          <w:highlight w:val="none"/>
        </w:rPr>
        <w:t>，核心成员需包含项目总监、技术开发工程师、运营维护人员等。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2.公司注册资本金不低于100万元人民币。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具备服务政府经贸部门、</w:t>
      </w:r>
      <w:r>
        <w:rPr>
          <w:rFonts w:hint="eastAsia" w:eastAsia="仿宋_GB2312" w:cs="Times New Roman"/>
          <w:sz w:val="32"/>
          <w:szCs w:val="32"/>
          <w:highlight w:val="none"/>
          <w:lang w:val="en-US" w:eastAsia="zh-CN"/>
        </w:rPr>
        <w:t>或涉外机构的</w:t>
      </w:r>
      <w:r>
        <w:rPr>
          <w:rFonts w:hint="default" w:ascii="Times New Roman" w:hAnsi="Times New Roman" w:eastAsia="仿宋_GB2312" w:cs="Times New Roman"/>
          <w:sz w:val="32"/>
          <w:szCs w:val="32"/>
          <w:highlight w:val="none"/>
        </w:rPr>
        <w:t>线上服务平台、经贸</w:t>
      </w:r>
      <w:r>
        <w:rPr>
          <w:rFonts w:hint="eastAsia" w:eastAsia="仿宋_GB2312" w:cs="Times New Roman"/>
          <w:sz w:val="32"/>
          <w:szCs w:val="32"/>
          <w:highlight w:val="none"/>
          <w:lang w:val="en-US" w:eastAsia="zh-CN"/>
        </w:rPr>
        <w:t>促进</w:t>
      </w:r>
      <w:r>
        <w:rPr>
          <w:rFonts w:hint="default" w:ascii="Times New Roman" w:hAnsi="Times New Roman" w:eastAsia="仿宋_GB2312" w:cs="Times New Roman"/>
          <w:sz w:val="32"/>
          <w:szCs w:val="32"/>
          <w:highlight w:val="none"/>
        </w:rPr>
        <w:t>类系统建设经验，需提供至少</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val="en-US" w:eastAsia="zh-CN"/>
        </w:rPr>
        <w:t>成功案例项目</w:t>
      </w:r>
      <w:r>
        <w:rPr>
          <w:rFonts w:hint="default" w:ascii="Times New Roman" w:hAnsi="Times New Roman" w:eastAsia="仿宋_GB2312" w:cs="Times New Roman"/>
          <w:sz w:val="32"/>
          <w:szCs w:val="32"/>
          <w:highlight w:val="none"/>
        </w:rPr>
        <w:t>合同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单个</w:t>
      </w:r>
      <w:r>
        <w:rPr>
          <w:rFonts w:hint="default" w:ascii="Times New Roman" w:hAnsi="Times New Roman" w:eastAsia="仿宋_GB2312" w:cs="Times New Roman"/>
          <w:sz w:val="32"/>
          <w:szCs w:val="32"/>
          <w:highlight w:val="none"/>
          <w:lang w:eastAsia="zh-CN"/>
        </w:rPr>
        <w:t>合同</w:t>
      </w:r>
      <w:r>
        <w:rPr>
          <w:rFonts w:hint="default" w:ascii="Times New Roman" w:hAnsi="Times New Roman" w:eastAsia="仿宋_GB2312" w:cs="Times New Roman"/>
          <w:sz w:val="32"/>
          <w:szCs w:val="32"/>
          <w:highlight w:val="none"/>
        </w:rPr>
        <w:t>金额≥</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0万元</w:t>
      </w:r>
      <w:r>
        <w:rPr>
          <w:rFonts w:hint="default" w:ascii="Times New Roman" w:hAnsi="Times New Roman" w:eastAsia="仿宋_GB2312" w:cs="Times New Roman"/>
          <w:sz w:val="32"/>
          <w:szCs w:val="32"/>
          <w:highlight w:val="none"/>
          <w:lang w:val="en-US" w:eastAsia="zh-CN"/>
        </w:rPr>
        <w:t>人民币</w:t>
      </w:r>
      <w:r>
        <w:rPr>
          <w:rFonts w:hint="default" w:ascii="Times New Roman" w:hAnsi="Times New Roman" w:eastAsia="仿宋_GB2312" w:cs="Times New Roman"/>
          <w:sz w:val="32"/>
          <w:szCs w:val="32"/>
          <w:highlight w:val="none"/>
        </w:rPr>
        <w:t>（附合同复印件及项目验收报告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合同原件备查</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4.具有跨国经贸类资源及企业客户资源优先。</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五、获取竞争性磋商文件：</w:t>
      </w:r>
    </w:p>
    <w:p>
      <w:pPr>
        <w:keepNext w:val="0"/>
        <w:keepLines w:val="0"/>
        <w:pageBreakBefore w:val="0"/>
        <w:widowControl w:val="0"/>
        <w:kinsoku/>
        <w:wordWrap/>
        <w:overflowPunct/>
        <w:topLinePunct w:val="0"/>
        <w:autoSpaceDE/>
        <w:autoSpaceDN/>
        <w:bidi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bookmarkStart w:id="25" w:name="_Hlk77932365"/>
      <w:r>
        <w:rPr>
          <w:rFonts w:hint="default" w:ascii="Times New Roman Regular" w:hAnsi="Times New Roman Regular" w:eastAsia="方正仿宋_GB2312" w:cs="Times New Roman Regular"/>
          <w:color w:val="auto"/>
          <w:sz w:val="32"/>
          <w:szCs w:val="32"/>
          <w:highlight w:val="none"/>
        </w:rPr>
        <w:t>请于</w:t>
      </w:r>
      <w:bookmarkEnd w:id="25"/>
      <w:r>
        <w:rPr>
          <w:rFonts w:hint="default" w:ascii="Times New Roman Regular" w:hAnsi="Times New Roman Regular" w:eastAsia="方正仿宋_GB2312" w:cs="Times New Roman Regular"/>
          <w:color w:val="auto"/>
          <w:sz w:val="32"/>
          <w:szCs w:val="32"/>
          <w:highlight w:val="none"/>
          <w:lang w:eastAsia="zh-CN"/>
        </w:rPr>
        <w:t>202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年</w:t>
      </w:r>
      <w:r>
        <w:rPr>
          <w:rFonts w:hint="eastAsia" w:ascii="Times New Roman Regular" w:hAnsi="Times New Roman Regular" w:eastAsia="方正仿宋_GB2312" w:cs="Times New Roman Regular"/>
          <w:color w:val="auto"/>
          <w:sz w:val="32"/>
          <w:szCs w:val="32"/>
          <w:highlight w:val="none"/>
          <w:lang w:val="en-US" w:eastAsia="zh-CN"/>
        </w:rPr>
        <w:t>12</w:t>
      </w:r>
      <w:r>
        <w:rPr>
          <w:rFonts w:hint="default" w:ascii="Times New Roman Regular" w:hAnsi="Times New Roman Regular" w:eastAsia="方正仿宋_GB2312" w:cs="Times New Roman Regular"/>
          <w:color w:val="auto"/>
          <w:sz w:val="32"/>
          <w:szCs w:val="32"/>
          <w:highlight w:val="none"/>
          <w:lang w:eastAsia="zh-CN"/>
        </w:rPr>
        <w:t>月</w:t>
      </w:r>
      <w:r>
        <w:rPr>
          <w:rFonts w:hint="eastAsia" w:ascii="Times New Roman Regular" w:hAnsi="Times New Roman Regular" w:eastAsia="方正仿宋_GB2312" w:cs="Times New Roman Regular"/>
          <w:color w:val="auto"/>
          <w:sz w:val="32"/>
          <w:szCs w:val="32"/>
          <w:highlight w:val="none"/>
          <w:lang w:val="en-US" w:eastAsia="zh-CN"/>
        </w:rPr>
        <w:t>23</w:t>
      </w:r>
      <w:r>
        <w:rPr>
          <w:rFonts w:hint="default" w:ascii="Times New Roman Regular" w:hAnsi="Times New Roman Regular" w:eastAsia="方正仿宋_GB2312" w:cs="Times New Roman Regular"/>
          <w:color w:val="auto"/>
          <w:sz w:val="32"/>
          <w:szCs w:val="32"/>
          <w:highlight w:val="none"/>
          <w:lang w:eastAsia="zh-CN"/>
        </w:rPr>
        <w:t>日</w:t>
      </w:r>
      <w:r>
        <w:rPr>
          <w:rFonts w:hint="eastAsia" w:ascii="Times New Roman Regular" w:hAnsi="Times New Roman Regular" w:eastAsia="方正仿宋_GB2312" w:cs="Times New Roman Regular"/>
          <w:color w:val="auto"/>
          <w:sz w:val="32"/>
          <w:szCs w:val="32"/>
          <w:highlight w:val="none"/>
          <w:lang w:val="en-US" w:eastAsia="zh-CN"/>
        </w:rPr>
        <w:t>08</w:t>
      </w:r>
      <w:r>
        <w:rPr>
          <w:rFonts w:hint="default" w:ascii="Times New Roman Regular" w:hAnsi="Times New Roman Regular" w:eastAsia="方正仿宋_GB2312" w:cs="Times New Roman Regular"/>
          <w:color w:val="auto"/>
          <w:sz w:val="32"/>
          <w:szCs w:val="32"/>
          <w:highlight w:val="none"/>
        </w:rPr>
        <w:t>时</w:t>
      </w:r>
      <w:r>
        <w:rPr>
          <w:rFonts w:hint="eastAsia" w:ascii="Times New Roman Regular" w:hAnsi="Times New Roman Regular" w:eastAsia="方正仿宋_GB2312" w:cs="Times New Roman Regular"/>
          <w:color w:val="auto"/>
          <w:sz w:val="32"/>
          <w:szCs w:val="32"/>
          <w:highlight w:val="none"/>
          <w:lang w:val="en-US" w:eastAsia="zh-CN"/>
        </w:rPr>
        <w:t>00</w:t>
      </w:r>
      <w:r>
        <w:rPr>
          <w:rFonts w:hint="default" w:ascii="Times New Roman Regular" w:hAnsi="Times New Roman Regular" w:eastAsia="方正仿宋_GB2312" w:cs="Times New Roman Regular"/>
          <w:color w:val="auto"/>
          <w:sz w:val="32"/>
          <w:szCs w:val="32"/>
          <w:highlight w:val="none"/>
        </w:rPr>
        <w:t>分至</w:t>
      </w:r>
      <w:r>
        <w:rPr>
          <w:rFonts w:hint="default" w:ascii="Times New Roman Regular" w:hAnsi="Times New Roman Regular" w:eastAsia="方正仿宋_GB2312" w:cs="Times New Roman Regular"/>
          <w:color w:val="auto"/>
          <w:sz w:val="32"/>
          <w:szCs w:val="32"/>
          <w:highlight w:val="none"/>
          <w:lang w:eastAsia="zh-CN"/>
        </w:rPr>
        <w:t>202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年</w:t>
      </w:r>
      <w:r>
        <w:rPr>
          <w:rFonts w:hint="eastAsia" w:ascii="Times New Roman Regular" w:hAnsi="Times New Roman Regular" w:eastAsia="方正仿宋_GB2312" w:cs="Times New Roman Regular"/>
          <w:color w:val="auto"/>
          <w:sz w:val="32"/>
          <w:szCs w:val="32"/>
          <w:highlight w:val="none"/>
          <w:lang w:val="en-US" w:eastAsia="zh-CN"/>
        </w:rPr>
        <w:t>12</w:t>
      </w:r>
      <w:r>
        <w:rPr>
          <w:rFonts w:hint="default" w:ascii="Times New Roman Regular" w:hAnsi="Times New Roman Regular" w:eastAsia="方正仿宋_GB2312" w:cs="Times New Roman Regular"/>
          <w:color w:val="auto"/>
          <w:sz w:val="32"/>
          <w:szCs w:val="32"/>
          <w:highlight w:val="none"/>
          <w:lang w:eastAsia="zh-CN"/>
        </w:rPr>
        <w:t>月</w:t>
      </w:r>
      <w:r>
        <w:rPr>
          <w:rFonts w:hint="eastAsia" w:ascii="Times New Roman Regular" w:hAnsi="Times New Roman Regular" w:eastAsia="方正仿宋_GB2312" w:cs="Times New Roman Regular"/>
          <w:color w:val="auto"/>
          <w:sz w:val="32"/>
          <w:szCs w:val="32"/>
          <w:highlight w:val="none"/>
          <w:lang w:val="en-US" w:eastAsia="zh-CN"/>
        </w:rPr>
        <w:t>25</w:t>
      </w:r>
      <w:r>
        <w:rPr>
          <w:rFonts w:hint="default" w:ascii="Times New Roman Regular" w:hAnsi="Times New Roman Regular" w:eastAsia="方正仿宋_GB2312" w:cs="Times New Roman Regular"/>
          <w:color w:val="auto"/>
          <w:sz w:val="32"/>
          <w:szCs w:val="32"/>
          <w:highlight w:val="none"/>
          <w:lang w:eastAsia="zh-CN"/>
        </w:rPr>
        <w:t>日</w:t>
      </w:r>
      <w:r>
        <w:rPr>
          <w:rFonts w:hint="eastAsia" w:ascii="Times New Roman Regular" w:hAnsi="Times New Roman Regular" w:eastAsia="方正仿宋_GB2312" w:cs="Times New Roman Regular"/>
          <w:color w:val="auto"/>
          <w:sz w:val="32"/>
          <w:szCs w:val="32"/>
          <w:highlight w:val="none"/>
          <w:lang w:val="en-US" w:eastAsia="zh-CN"/>
        </w:rPr>
        <w:t>18</w:t>
      </w:r>
      <w:r>
        <w:rPr>
          <w:rFonts w:hint="default" w:ascii="Times New Roman Regular" w:hAnsi="Times New Roman Regular" w:eastAsia="方正仿宋_GB2312" w:cs="Times New Roman Regular"/>
          <w:color w:val="auto"/>
          <w:sz w:val="32"/>
          <w:szCs w:val="32"/>
          <w:highlight w:val="none"/>
        </w:rPr>
        <w:t>时</w:t>
      </w:r>
      <w:r>
        <w:rPr>
          <w:rFonts w:hint="eastAsia" w:ascii="Times New Roman Regular" w:hAnsi="Times New Roman Regular" w:eastAsia="方正仿宋_GB2312" w:cs="Times New Roman Regular"/>
          <w:color w:val="auto"/>
          <w:sz w:val="32"/>
          <w:szCs w:val="32"/>
          <w:highlight w:val="none"/>
          <w:lang w:val="en-US" w:eastAsia="zh-CN"/>
        </w:rPr>
        <w:t>0</w:t>
      </w:r>
      <w:r>
        <w:rPr>
          <w:rFonts w:hint="default" w:ascii="Times New Roman Regular" w:hAnsi="Times New Roman Regular" w:eastAsia="方正仿宋_GB2312" w:cs="Times New Roman Regular"/>
          <w:color w:val="auto"/>
          <w:sz w:val="32"/>
          <w:szCs w:val="32"/>
          <w:highlight w:val="none"/>
          <w:lang w:val="en-US" w:eastAsia="zh-CN"/>
        </w:rPr>
        <w:t>0</w:t>
      </w:r>
      <w:r>
        <w:rPr>
          <w:rFonts w:hint="default" w:ascii="Times New Roman Regular" w:hAnsi="Times New Roman Regular" w:eastAsia="方正仿宋_GB2312" w:cs="Times New Roman Regular"/>
          <w:color w:val="auto"/>
          <w:sz w:val="32"/>
          <w:szCs w:val="32"/>
          <w:highlight w:val="none"/>
        </w:rPr>
        <w:t>分在广西国际博览集团有限公司官方网站</w:t>
      </w:r>
      <w:r>
        <w:rPr>
          <w:rFonts w:hint="default" w:ascii="Times New Roman" w:hAnsi="Times New Roman" w:eastAsia="仿宋_GB2312" w:cs="Times New Roman"/>
          <w:color w:val="auto"/>
          <w:sz w:val="32"/>
          <w:szCs w:val="32"/>
          <w:highlight w:val="none"/>
        </w:rPr>
        <w:t>（https://www.gxexpogp.cn/）下载获取。</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六、</w:t>
      </w:r>
      <w:bookmarkStart w:id="26" w:name="_Hlk77932515"/>
      <w:r>
        <w:rPr>
          <w:rFonts w:hint="eastAsia" w:ascii="方正仿宋_GB2312" w:hAnsi="方正仿宋_GB2312" w:eastAsia="方正仿宋_GB2312" w:cs="方正仿宋_GB2312"/>
          <w:b/>
          <w:color w:val="auto"/>
          <w:sz w:val="32"/>
          <w:szCs w:val="32"/>
          <w:highlight w:val="none"/>
        </w:rPr>
        <w:t>磋商</w:t>
      </w:r>
      <w:bookmarkEnd w:id="26"/>
      <w:r>
        <w:rPr>
          <w:rFonts w:hint="eastAsia" w:ascii="方正仿宋_GB2312" w:hAnsi="方正仿宋_GB2312" w:eastAsia="方正仿宋_GB2312" w:cs="方正仿宋_GB2312"/>
          <w:b/>
          <w:color w:val="auto"/>
          <w:sz w:val="32"/>
          <w:szCs w:val="32"/>
          <w:highlight w:val="none"/>
        </w:rPr>
        <w:t>响应文件递交截止时间和地点：</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磋商响应文件必须以密封形式于</w:t>
      </w:r>
      <w:bookmarkStart w:id="27" w:name="_Hlk77932887"/>
      <w:r>
        <w:rPr>
          <w:rFonts w:hint="default" w:ascii="Times New Roman Regular" w:hAnsi="Times New Roman Regular" w:eastAsia="方正仿宋_GB2312" w:cs="Times New Roman Regular"/>
          <w:b w:val="0"/>
          <w:color w:val="auto"/>
          <w:sz w:val="32"/>
          <w:szCs w:val="32"/>
          <w:highlight w:val="none"/>
          <w:u w:val="single"/>
          <w:lang w:eastAsia="zh-CN"/>
        </w:rPr>
        <w:t>202</w:t>
      </w:r>
      <w:r>
        <w:rPr>
          <w:rFonts w:hint="eastAsia" w:ascii="Times New Roman Regular" w:hAnsi="Times New Roman Regular" w:eastAsia="方正仿宋_GB2312" w:cs="Times New Roman Regular"/>
          <w:b w:val="0"/>
          <w:color w:val="auto"/>
          <w:sz w:val="32"/>
          <w:szCs w:val="32"/>
          <w:highlight w:val="none"/>
          <w:u w:val="single"/>
          <w:lang w:val="en-US" w:eastAsia="zh-CN"/>
        </w:rPr>
        <w:t>5</w:t>
      </w:r>
      <w:r>
        <w:rPr>
          <w:rFonts w:hint="default" w:ascii="Times New Roman Regular" w:hAnsi="Times New Roman Regular" w:eastAsia="方正仿宋_GB2312" w:cs="Times New Roman Regular"/>
          <w:b w:val="0"/>
          <w:color w:val="auto"/>
          <w:sz w:val="32"/>
          <w:szCs w:val="32"/>
          <w:highlight w:val="none"/>
          <w:u w:val="single"/>
          <w:lang w:eastAsia="zh-CN"/>
        </w:rPr>
        <w:t>年</w:t>
      </w:r>
      <w:r>
        <w:rPr>
          <w:rFonts w:hint="eastAsia" w:ascii="Times New Roman Regular" w:hAnsi="Times New Roman Regular" w:eastAsia="方正仿宋_GB2312" w:cs="Times New Roman Regular"/>
          <w:b w:val="0"/>
          <w:color w:val="auto"/>
          <w:sz w:val="32"/>
          <w:szCs w:val="32"/>
          <w:highlight w:val="none"/>
          <w:u w:val="single"/>
          <w:lang w:val="en-US" w:eastAsia="zh-CN"/>
        </w:rPr>
        <w:t>12</w:t>
      </w:r>
      <w:r>
        <w:rPr>
          <w:rFonts w:hint="default" w:ascii="Times New Roman Regular" w:hAnsi="Times New Roman Regular" w:eastAsia="方正仿宋_GB2312" w:cs="Times New Roman Regular"/>
          <w:b w:val="0"/>
          <w:color w:val="auto"/>
          <w:sz w:val="32"/>
          <w:szCs w:val="32"/>
          <w:highlight w:val="none"/>
          <w:u w:val="single"/>
          <w:lang w:eastAsia="zh-CN"/>
        </w:rPr>
        <w:t>月</w:t>
      </w:r>
      <w:r>
        <w:rPr>
          <w:rFonts w:hint="eastAsia" w:ascii="Times New Roman Regular" w:hAnsi="Times New Roman Regular" w:eastAsia="方正仿宋_GB2312" w:cs="Times New Roman Regular"/>
          <w:b w:val="0"/>
          <w:color w:val="auto"/>
          <w:sz w:val="32"/>
          <w:szCs w:val="32"/>
          <w:highlight w:val="none"/>
          <w:u w:val="single"/>
          <w:lang w:val="en-US" w:eastAsia="zh-CN"/>
        </w:rPr>
        <w:t>26</w:t>
      </w:r>
      <w:r>
        <w:rPr>
          <w:rFonts w:hint="default" w:ascii="Times New Roman Regular" w:hAnsi="Times New Roman Regular" w:eastAsia="方正仿宋_GB2312" w:cs="Times New Roman Regular"/>
          <w:b w:val="0"/>
          <w:color w:val="auto"/>
          <w:sz w:val="32"/>
          <w:szCs w:val="32"/>
          <w:highlight w:val="none"/>
          <w:u w:val="single"/>
          <w:lang w:eastAsia="zh-CN"/>
        </w:rPr>
        <w:t>日</w:t>
      </w:r>
      <w:r>
        <w:rPr>
          <w:rFonts w:hint="eastAsia" w:ascii="Times New Roman Regular" w:hAnsi="Times New Roman Regular" w:eastAsia="方正仿宋_GB2312" w:cs="Times New Roman Regular"/>
          <w:b w:val="0"/>
          <w:color w:val="auto"/>
          <w:sz w:val="32"/>
          <w:szCs w:val="32"/>
          <w:highlight w:val="none"/>
          <w:u w:val="single"/>
          <w:lang w:val="en-US" w:eastAsia="zh-CN"/>
        </w:rPr>
        <w:t>上</w:t>
      </w:r>
      <w:r>
        <w:rPr>
          <w:rFonts w:hint="default" w:ascii="Times New Roman Regular" w:hAnsi="Times New Roman Regular" w:eastAsia="方正仿宋_GB2312" w:cs="Times New Roman Regular"/>
          <w:b w:val="0"/>
          <w:color w:val="auto"/>
          <w:sz w:val="32"/>
          <w:szCs w:val="32"/>
          <w:highlight w:val="none"/>
          <w:u w:val="single"/>
          <w:lang w:eastAsia="zh-CN"/>
        </w:rPr>
        <w:t>午</w:t>
      </w:r>
      <w:r>
        <w:rPr>
          <w:rFonts w:hint="eastAsia" w:ascii="Times New Roman Regular" w:hAnsi="Times New Roman Regular" w:eastAsia="方正仿宋_GB2312" w:cs="Times New Roman Regular"/>
          <w:b w:val="0"/>
          <w:color w:val="auto"/>
          <w:sz w:val="32"/>
          <w:szCs w:val="32"/>
          <w:highlight w:val="none"/>
          <w:u w:val="single"/>
          <w:lang w:val="en-US" w:eastAsia="zh-CN"/>
        </w:rPr>
        <w:t>09</w:t>
      </w:r>
      <w:r>
        <w:rPr>
          <w:rFonts w:hint="default" w:ascii="Times New Roman Regular" w:hAnsi="Times New Roman Regular" w:eastAsia="方正仿宋_GB2312" w:cs="Times New Roman Regular"/>
          <w:b w:val="0"/>
          <w:color w:val="auto"/>
          <w:sz w:val="32"/>
          <w:szCs w:val="32"/>
          <w:highlight w:val="none"/>
          <w:u w:val="single"/>
          <w:lang w:eastAsia="zh-CN"/>
        </w:rPr>
        <w:t>时</w:t>
      </w:r>
      <w:r>
        <w:rPr>
          <w:rFonts w:hint="eastAsia" w:ascii="Times New Roman Regular" w:hAnsi="Times New Roman Regular" w:eastAsia="方正仿宋_GB2312" w:cs="Times New Roman Regular"/>
          <w:b w:val="0"/>
          <w:color w:val="auto"/>
          <w:sz w:val="32"/>
          <w:szCs w:val="32"/>
          <w:highlight w:val="none"/>
          <w:u w:val="single"/>
          <w:lang w:val="en-US" w:eastAsia="zh-CN"/>
        </w:rPr>
        <w:t>0</w:t>
      </w:r>
      <w:r>
        <w:rPr>
          <w:rFonts w:hint="default" w:ascii="Times New Roman Regular" w:hAnsi="Times New Roman Regular" w:eastAsia="方正仿宋_GB2312" w:cs="Times New Roman Regular"/>
          <w:b w:val="0"/>
          <w:color w:val="auto"/>
          <w:sz w:val="32"/>
          <w:szCs w:val="32"/>
          <w:highlight w:val="none"/>
          <w:u w:val="single"/>
          <w:lang w:val="en-US" w:eastAsia="zh-CN"/>
        </w:rPr>
        <w:t>0</w:t>
      </w:r>
      <w:r>
        <w:rPr>
          <w:rFonts w:hint="default" w:ascii="Times New Roman Regular" w:hAnsi="Times New Roman Regular" w:eastAsia="方正仿宋_GB2312" w:cs="Times New Roman Regular"/>
          <w:b w:val="0"/>
          <w:color w:val="auto"/>
          <w:sz w:val="32"/>
          <w:szCs w:val="32"/>
          <w:highlight w:val="none"/>
          <w:u w:val="single"/>
          <w:lang w:eastAsia="zh-CN"/>
        </w:rPr>
        <w:t>分</w:t>
      </w:r>
      <w:bookmarkEnd w:id="27"/>
      <w:r>
        <w:rPr>
          <w:rFonts w:hint="default" w:ascii="Times New Roman Regular" w:hAnsi="Times New Roman Regular" w:eastAsia="方正仿宋_GB2312" w:cs="Times New Roman Regular"/>
          <w:b w:val="0"/>
          <w:color w:val="auto"/>
          <w:sz w:val="32"/>
          <w:szCs w:val="32"/>
          <w:highlight w:val="none"/>
          <w:u w:val="none"/>
        </w:rPr>
        <w:t>前</w:t>
      </w:r>
      <w:r>
        <w:rPr>
          <w:rFonts w:hint="default" w:ascii="Times New Roman Regular" w:hAnsi="Times New Roman Regular" w:eastAsia="方正仿宋_GB2312" w:cs="Times New Roman Regular"/>
          <w:b w:val="0"/>
          <w:color w:val="auto"/>
          <w:sz w:val="32"/>
          <w:szCs w:val="32"/>
          <w:highlight w:val="none"/>
        </w:rPr>
        <w:t>，递交到</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商务街4号楼3楼302号办公室</w:t>
      </w:r>
      <w:r>
        <w:rPr>
          <w:rFonts w:hint="default" w:ascii="Times New Roman Regular" w:hAnsi="Times New Roman Regular" w:eastAsia="方正仿宋_GB2312" w:cs="Times New Roman Regular"/>
          <w:b w:val="0"/>
          <w:color w:val="auto"/>
          <w:sz w:val="32"/>
          <w:szCs w:val="32"/>
          <w:highlight w:val="none"/>
          <w:u w:val="single"/>
        </w:rPr>
        <w:t>，联系电话：0771-</w:t>
      </w:r>
      <w:r>
        <w:rPr>
          <w:rFonts w:hint="eastAsia" w:ascii="Times New Roman Regular" w:hAnsi="Times New Roman Regular" w:eastAsia="方正仿宋_GB2312" w:cs="Times New Roman Regular"/>
          <w:b w:val="0"/>
          <w:color w:val="auto"/>
          <w:sz w:val="32"/>
          <w:szCs w:val="32"/>
          <w:highlight w:val="none"/>
          <w:u w:val="single"/>
          <w:lang w:val="en-US" w:eastAsia="zh-CN"/>
        </w:rPr>
        <w:t>8060649</w:t>
      </w:r>
      <w:r>
        <w:rPr>
          <w:rFonts w:hint="default" w:ascii="Times New Roman Regular" w:hAnsi="Times New Roman Regular" w:eastAsia="方正仿宋_GB2312" w:cs="Times New Roman Regular"/>
          <w:b w:val="0"/>
          <w:color w:val="auto"/>
          <w:sz w:val="32"/>
          <w:szCs w:val="32"/>
          <w:highlight w:val="none"/>
          <w:u w:val="single"/>
        </w:rPr>
        <w:t>）</w:t>
      </w:r>
      <w:r>
        <w:rPr>
          <w:rFonts w:hint="default" w:ascii="Times New Roman Regular" w:hAnsi="Times New Roman Regular" w:eastAsia="方正仿宋_GB2312" w:cs="Times New Roman Regular"/>
          <w:b w:val="0"/>
          <w:color w:val="auto"/>
          <w:sz w:val="32"/>
          <w:szCs w:val="32"/>
          <w:highlight w:val="none"/>
        </w:rPr>
        <w:t>，逾期送达或未</w:t>
      </w:r>
      <w:r>
        <w:rPr>
          <w:rFonts w:hint="eastAsia" w:ascii="Times New Roman Regular" w:hAnsi="Times New Roman Regular" w:eastAsia="方正仿宋_GB2312" w:cs="Times New Roman Regular"/>
          <w:b w:val="0"/>
          <w:color w:val="auto"/>
          <w:sz w:val="32"/>
          <w:szCs w:val="32"/>
          <w:highlight w:val="none"/>
          <w:lang w:val="en-US" w:eastAsia="zh-CN"/>
        </w:rPr>
        <w:t>有效</w:t>
      </w:r>
      <w:r>
        <w:rPr>
          <w:rFonts w:hint="default" w:ascii="Times New Roman Regular" w:hAnsi="Times New Roman Regular" w:eastAsia="方正仿宋_GB2312" w:cs="Times New Roman Regular"/>
          <w:b w:val="0"/>
          <w:color w:val="auto"/>
          <w:sz w:val="32"/>
          <w:szCs w:val="32"/>
          <w:highlight w:val="none"/>
        </w:rPr>
        <w:t>密封将予以拒收。</w:t>
      </w:r>
    </w:p>
    <w:p>
      <w:pPr>
        <w:pStyle w:val="8"/>
        <w:keepNext w:val="0"/>
        <w:keepLines w:val="0"/>
        <w:pageBreakBefore w:val="0"/>
        <w:widowControl w:val="0"/>
        <w:kinsoku/>
        <w:wordWrap/>
        <w:overflowPunct/>
        <w:topLinePunct w:val="0"/>
        <w:autoSpaceDE/>
        <w:autoSpaceDN/>
        <w:bidi w:val="0"/>
        <w:adjustRightInd w:val="0"/>
        <w:snapToGrid w:val="0"/>
        <w:spacing w:line="600" w:lineRule="exact"/>
        <w:ind w:left="319" w:leftChars="152" w:firstLine="320" w:firstLineChars="1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bCs/>
          <w:color w:val="auto"/>
          <w:sz w:val="32"/>
          <w:szCs w:val="32"/>
          <w:highlight w:val="none"/>
        </w:rPr>
        <w:t>七、磋商时间及地点</w:t>
      </w:r>
      <w:r>
        <w:rPr>
          <w:rFonts w:hint="default" w:ascii="Times New Roman Regular" w:hAnsi="Times New Roman Regular" w:eastAsia="方正仿宋_GB2312" w:cs="Times New Roman Regular"/>
          <w:b w:val="0"/>
          <w:color w:val="auto"/>
          <w:sz w:val="32"/>
          <w:szCs w:val="32"/>
          <w:highlight w:val="none"/>
        </w:rPr>
        <w:t>：</w:t>
      </w:r>
      <w:r>
        <w:rPr>
          <w:rFonts w:hint="default" w:ascii="Times New Roman Regular" w:hAnsi="Times New Roman Regular" w:eastAsia="方正仿宋_GB2312" w:cs="Times New Roman Regular"/>
          <w:b w:val="0"/>
          <w:bCs/>
          <w:color w:val="auto"/>
          <w:sz w:val="32"/>
          <w:szCs w:val="32"/>
          <w:highlight w:val="none"/>
        </w:rPr>
        <w:t>本次磋商将于</w:t>
      </w:r>
      <w:r>
        <w:rPr>
          <w:rFonts w:hint="default" w:ascii="Times New Roman Regular" w:hAnsi="Times New Roman Regular" w:eastAsia="方正仿宋_GB2312" w:cs="Times New Roman Regular"/>
          <w:b w:val="0"/>
          <w:color w:val="auto"/>
          <w:sz w:val="32"/>
          <w:szCs w:val="32"/>
          <w:highlight w:val="none"/>
          <w:u w:val="single"/>
          <w:lang w:eastAsia="zh-CN"/>
        </w:rPr>
        <w:t>202</w:t>
      </w:r>
      <w:r>
        <w:rPr>
          <w:rFonts w:hint="eastAsia" w:ascii="Times New Roman Regular" w:hAnsi="Times New Roman Regular" w:eastAsia="方正仿宋_GB2312" w:cs="Times New Roman Regular"/>
          <w:b w:val="0"/>
          <w:color w:val="auto"/>
          <w:sz w:val="32"/>
          <w:szCs w:val="32"/>
          <w:highlight w:val="none"/>
          <w:u w:val="single"/>
          <w:lang w:val="en-US" w:eastAsia="zh-CN"/>
        </w:rPr>
        <w:t>5</w:t>
      </w:r>
      <w:r>
        <w:rPr>
          <w:rFonts w:hint="default" w:ascii="Times New Roman Regular" w:hAnsi="Times New Roman Regular" w:eastAsia="方正仿宋_GB2312" w:cs="Times New Roman Regular"/>
          <w:b w:val="0"/>
          <w:color w:val="auto"/>
          <w:sz w:val="32"/>
          <w:szCs w:val="32"/>
          <w:highlight w:val="none"/>
          <w:u w:val="single"/>
          <w:lang w:eastAsia="zh-CN"/>
        </w:rPr>
        <w:t>年</w:t>
      </w:r>
      <w:r>
        <w:rPr>
          <w:rFonts w:hint="eastAsia" w:ascii="Times New Roman Regular" w:hAnsi="Times New Roman Regular" w:eastAsia="方正仿宋_GB2312" w:cs="Times New Roman Regular"/>
          <w:b w:val="0"/>
          <w:color w:val="auto"/>
          <w:sz w:val="32"/>
          <w:szCs w:val="32"/>
          <w:highlight w:val="none"/>
          <w:u w:val="single"/>
          <w:lang w:val="en-US" w:eastAsia="zh-CN"/>
        </w:rPr>
        <w:t>12</w:t>
      </w:r>
      <w:r>
        <w:rPr>
          <w:rFonts w:hint="default" w:ascii="Times New Roman Regular" w:hAnsi="Times New Roman Regular" w:eastAsia="方正仿宋_GB2312" w:cs="Times New Roman Regular"/>
          <w:b w:val="0"/>
          <w:color w:val="auto"/>
          <w:sz w:val="32"/>
          <w:szCs w:val="32"/>
          <w:highlight w:val="none"/>
          <w:u w:val="single"/>
          <w:lang w:eastAsia="zh-CN"/>
        </w:rPr>
        <w:t>月</w:t>
      </w:r>
      <w:r>
        <w:rPr>
          <w:rFonts w:hint="eastAsia" w:ascii="Times New Roman Regular" w:hAnsi="Times New Roman Regular" w:eastAsia="方正仿宋_GB2312" w:cs="Times New Roman Regular"/>
          <w:b w:val="0"/>
          <w:color w:val="auto"/>
          <w:sz w:val="32"/>
          <w:szCs w:val="32"/>
          <w:highlight w:val="none"/>
          <w:u w:val="single"/>
          <w:lang w:val="en-US" w:eastAsia="zh-CN"/>
        </w:rPr>
        <w:t>26</w:t>
      </w:r>
      <w:r>
        <w:rPr>
          <w:rFonts w:hint="default" w:ascii="Times New Roman Regular" w:hAnsi="Times New Roman Regular" w:eastAsia="方正仿宋_GB2312" w:cs="Times New Roman Regular"/>
          <w:b w:val="0"/>
          <w:color w:val="auto"/>
          <w:sz w:val="32"/>
          <w:szCs w:val="32"/>
          <w:highlight w:val="none"/>
          <w:u w:val="single"/>
          <w:lang w:eastAsia="zh-CN"/>
        </w:rPr>
        <w:t>日</w:t>
      </w:r>
      <w:r>
        <w:rPr>
          <w:rFonts w:hint="eastAsia" w:ascii="Times New Roman Regular" w:hAnsi="Times New Roman Regular" w:eastAsia="方正仿宋_GB2312" w:cs="Times New Roman Regular"/>
          <w:b w:val="0"/>
          <w:color w:val="auto"/>
          <w:sz w:val="32"/>
          <w:szCs w:val="32"/>
          <w:highlight w:val="none"/>
          <w:u w:val="single"/>
          <w:lang w:val="en-US" w:eastAsia="zh-CN"/>
        </w:rPr>
        <w:t>上</w:t>
      </w:r>
      <w:r>
        <w:rPr>
          <w:rFonts w:hint="default" w:ascii="Times New Roman Regular" w:hAnsi="Times New Roman Regular" w:eastAsia="方正仿宋_GB2312" w:cs="Times New Roman Regular"/>
          <w:b w:val="0"/>
          <w:color w:val="auto"/>
          <w:sz w:val="32"/>
          <w:szCs w:val="32"/>
          <w:highlight w:val="none"/>
          <w:u w:val="single"/>
          <w:lang w:eastAsia="zh-CN"/>
        </w:rPr>
        <w:t>午</w:t>
      </w:r>
      <w:r>
        <w:rPr>
          <w:rFonts w:hint="eastAsia" w:ascii="Times New Roman Regular" w:hAnsi="Times New Roman Regular" w:eastAsia="方正仿宋_GB2312" w:cs="Times New Roman Regular"/>
          <w:b w:val="0"/>
          <w:color w:val="auto"/>
          <w:sz w:val="32"/>
          <w:szCs w:val="32"/>
          <w:highlight w:val="none"/>
          <w:u w:val="single"/>
          <w:lang w:val="en-US" w:eastAsia="zh-CN"/>
        </w:rPr>
        <w:t>09</w:t>
      </w:r>
      <w:r>
        <w:rPr>
          <w:rFonts w:hint="default" w:ascii="Times New Roman Regular" w:hAnsi="Times New Roman Regular" w:eastAsia="方正仿宋_GB2312" w:cs="Times New Roman Regular"/>
          <w:b w:val="0"/>
          <w:color w:val="auto"/>
          <w:sz w:val="32"/>
          <w:szCs w:val="32"/>
          <w:highlight w:val="none"/>
          <w:u w:val="single"/>
          <w:lang w:eastAsia="zh-CN"/>
        </w:rPr>
        <w:t>时</w:t>
      </w:r>
      <w:r>
        <w:rPr>
          <w:rFonts w:hint="eastAsia" w:ascii="Times New Roman Regular" w:hAnsi="Times New Roman Regular" w:eastAsia="方正仿宋_GB2312" w:cs="Times New Roman Regular"/>
          <w:b w:val="0"/>
          <w:color w:val="auto"/>
          <w:sz w:val="32"/>
          <w:szCs w:val="32"/>
          <w:highlight w:val="none"/>
          <w:u w:val="single"/>
          <w:lang w:val="en-US" w:eastAsia="zh-CN"/>
        </w:rPr>
        <w:t>0</w:t>
      </w:r>
      <w:r>
        <w:rPr>
          <w:rFonts w:hint="default" w:ascii="Times New Roman Regular" w:hAnsi="Times New Roman Regular" w:eastAsia="方正仿宋_GB2312" w:cs="Times New Roman Regular"/>
          <w:b w:val="0"/>
          <w:color w:val="auto"/>
          <w:sz w:val="32"/>
          <w:szCs w:val="32"/>
          <w:highlight w:val="none"/>
          <w:u w:val="single"/>
          <w:lang w:val="en-US" w:eastAsia="zh-CN"/>
        </w:rPr>
        <w:t>0</w:t>
      </w:r>
      <w:r>
        <w:rPr>
          <w:rFonts w:hint="default" w:ascii="Times New Roman Regular" w:hAnsi="Times New Roman Regular" w:eastAsia="方正仿宋_GB2312" w:cs="Times New Roman Regular"/>
          <w:b w:val="0"/>
          <w:color w:val="auto"/>
          <w:sz w:val="32"/>
          <w:szCs w:val="32"/>
          <w:highlight w:val="none"/>
          <w:u w:val="single"/>
          <w:lang w:eastAsia="zh-CN"/>
        </w:rPr>
        <w:t>分</w:t>
      </w:r>
      <w:r>
        <w:rPr>
          <w:rFonts w:hint="default" w:ascii="Times New Roman Regular" w:hAnsi="Times New Roman Regular" w:eastAsia="方正仿宋_GB2312" w:cs="Times New Roman Regular"/>
          <w:b w:val="0"/>
          <w:color w:val="auto"/>
          <w:sz w:val="32"/>
          <w:szCs w:val="32"/>
          <w:highlight w:val="none"/>
        </w:rPr>
        <w:t>在</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商务街4号楼213会议室</w:t>
      </w:r>
      <w:r>
        <w:rPr>
          <w:rFonts w:hint="default" w:ascii="Times New Roman Regular" w:hAnsi="Times New Roman Regular" w:eastAsia="方正仿宋_GB2312" w:cs="Times New Roman Regular"/>
          <w:b w:val="0"/>
          <w:color w:val="auto"/>
          <w:sz w:val="32"/>
          <w:szCs w:val="32"/>
          <w:highlight w:val="none"/>
        </w:rPr>
        <w:t>进行。参加磋商的法</w:t>
      </w:r>
      <w:bookmarkStart w:id="28" w:name="OLE_LINK45"/>
      <w:bookmarkStart w:id="29" w:name="OLE_LINK44"/>
      <w:r>
        <w:rPr>
          <w:rFonts w:hint="default" w:ascii="Times New Roman Regular" w:hAnsi="Times New Roman Regular" w:eastAsia="方正仿宋_GB2312" w:cs="Times New Roman Regular"/>
          <w:b w:val="0"/>
          <w:color w:val="auto"/>
          <w:sz w:val="32"/>
          <w:szCs w:val="32"/>
          <w:highlight w:val="none"/>
        </w:rPr>
        <w:t>定代表人或委托代理人必须持有效证件（法定代表人凭身份证原件或委托代理人凭</w:t>
      </w:r>
      <w:bookmarkEnd w:id="28"/>
      <w:bookmarkEnd w:id="29"/>
      <w:r>
        <w:rPr>
          <w:rFonts w:hint="default" w:ascii="Times New Roman Regular" w:hAnsi="Times New Roman Regular" w:eastAsia="方正仿宋_GB2312" w:cs="Times New Roman Regular"/>
          <w:b w:val="0"/>
          <w:color w:val="auto"/>
          <w:sz w:val="32"/>
          <w:szCs w:val="32"/>
          <w:highlight w:val="none"/>
        </w:rPr>
        <w:t>法人授权委托书原件和身份证原件）依时到达指定地点等候磋商。</w:t>
      </w:r>
    </w:p>
    <w:p>
      <w:pPr>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bCs w:val="0"/>
          <w:color w:val="auto"/>
          <w:sz w:val="32"/>
          <w:szCs w:val="32"/>
          <w:highlight w:val="none"/>
        </w:rPr>
        <w:t>八、公告期限</w:t>
      </w:r>
      <w:r>
        <w:rPr>
          <w:rFonts w:hint="default" w:ascii="Times New Roman Regular" w:hAnsi="Times New Roman Regular" w:eastAsia="方正仿宋_GB2312" w:cs="Times New Roman Regular"/>
          <w:b w:val="0"/>
          <w:bCs/>
          <w:color w:val="auto"/>
          <w:sz w:val="32"/>
          <w:szCs w:val="32"/>
          <w:highlight w:val="none"/>
        </w:rPr>
        <w:t>：</w:t>
      </w:r>
      <w:r>
        <w:rPr>
          <w:rFonts w:hint="default" w:ascii="Times New Roman Regular" w:hAnsi="Times New Roman Regular" w:eastAsia="方正仿宋_GB2312" w:cs="Times New Roman Regular"/>
          <w:b w:val="0"/>
          <w:color w:val="auto"/>
          <w:sz w:val="32"/>
          <w:szCs w:val="32"/>
          <w:highlight w:val="none"/>
        </w:rPr>
        <w:t>自本公告发布之日起3个工作日。</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 xml:space="preserve">九、业务咨询: </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广西东博国际</w:t>
      </w:r>
      <w:r>
        <w:rPr>
          <w:rFonts w:hint="eastAsia" w:ascii="Times New Roman Regular" w:hAnsi="Times New Roman Regular" w:eastAsia="方正仿宋_GB2312" w:cs="Times New Roman Regular"/>
          <w:b w:val="0"/>
          <w:color w:val="auto"/>
          <w:sz w:val="32"/>
          <w:szCs w:val="32"/>
          <w:highlight w:val="none"/>
          <w:lang w:val="en-US" w:eastAsia="zh-CN"/>
        </w:rPr>
        <w:t>经贸投资</w:t>
      </w:r>
      <w:r>
        <w:rPr>
          <w:rFonts w:hint="default" w:ascii="Times New Roman Regular" w:hAnsi="Times New Roman Regular" w:eastAsia="方正仿宋_GB2312" w:cs="Times New Roman Regular"/>
          <w:b w:val="0"/>
          <w:color w:val="auto"/>
          <w:sz w:val="32"/>
          <w:szCs w:val="32"/>
          <w:highlight w:val="none"/>
        </w:rPr>
        <w:t xml:space="preserve">有限公司 </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联系人：</w:t>
      </w:r>
      <w:r>
        <w:rPr>
          <w:rFonts w:hint="eastAsia" w:ascii="Times New Roman Regular" w:hAnsi="Times New Roman Regular" w:eastAsia="方正仿宋_GB2312" w:cs="Times New Roman Regular"/>
          <w:b w:val="0"/>
          <w:color w:val="auto"/>
          <w:sz w:val="32"/>
          <w:szCs w:val="32"/>
          <w:highlight w:val="none"/>
          <w:lang w:val="en-US" w:eastAsia="zh-CN"/>
        </w:rPr>
        <w:t>莫</w:t>
      </w:r>
      <w:r>
        <w:rPr>
          <w:rFonts w:hint="default" w:ascii="Times New Roman Regular" w:hAnsi="Times New Roman Regular" w:eastAsia="方正仿宋_GB2312" w:cs="Times New Roman Regular"/>
          <w:b w:val="0"/>
          <w:color w:val="auto"/>
          <w:sz w:val="32"/>
          <w:szCs w:val="32"/>
          <w:highlight w:val="none"/>
        </w:rPr>
        <w:t xml:space="preserve">经理   </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pacing w:val="-11"/>
          <w:sz w:val="32"/>
          <w:szCs w:val="32"/>
          <w:highlight w:val="none"/>
          <w:lang w:val="en-US" w:eastAsia="zh-CN"/>
        </w:rPr>
      </w:pPr>
      <w:r>
        <w:rPr>
          <w:rFonts w:hint="default" w:ascii="Times New Roman Regular" w:hAnsi="Times New Roman Regular" w:eastAsia="方正仿宋_GB2312" w:cs="Times New Roman Regular"/>
          <w:b w:val="0"/>
          <w:color w:val="auto"/>
          <w:sz w:val="32"/>
          <w:szCs w:val="32"/>
          <w:highlight w:val="none"/>
        </w:rPr>
        <w:t>联系电话：</w:t>
      </w:r>
      <w:r>
        <w:rPr>
          <w:rFonts w:hint="eastAsia" w:ascii="Times New Roman Regular" w:hAnsi="Times New Roman Regular" w:eastAsia="方正仿宋_GB2312" w:cs="Times New Roman Regular"/>
          <w:b w:val="0"/>
          <w:color w:val="auto"/>
          <w:sz w:val="32"/>
          <w:szCs w:val="32"/>
          <w:highlight w:val="none"/>
          <w:lang w:val="en-US" w:eastAsia="zh-CN"/>
        </w:rPr>
        <w:t>18176546828</w:t>
      </w:r>
      <w:r>
        <w:rPr>
          <w:rFonts w:hint="default" w:ascii="Times New Roman Regular" w:hAnsi="Times New Roman Regular" w:eastAsia="方正仿宋_GB2312" w:cs="Times New Roman Regular"/>
          <w:b w:val="0"/>
          <w:color w:val="auto"/>
          <w:sz w:val="32"/>
          <w:szCs w:val="32"/>
          <w:highlight w:val="none"/>
        </w:rPr>
        <w:t>地址：</w:t>
      </w:r>
      <w:r>
        <w:rPr>
          <w:rFonts w:hint="default" w:ascii="Times New Roman Regular" w:hAnsi="Times New Roman Regular" w:eastAsia="方正仿宋_GB2312" w:cs="Times New Roman Regular"/>
          <w:b w:val="0"/>
          <w:color w:val="auto"/>
          <w:sz w:val="32"/>
          <w:szCs w:val="32"/>
          <w:highlight w:val="none"/>
          <w:u w:val="single"/>
        </w:rPr>
        <w:t>广西南宁市</w:t>
      </w:r>
      <w:r>
        <w:rPr>
          <w:rFonts w:hint="eastAsia" w:ascii="Times New Roman Regular" w:hAnsi="Times New Roman Regular" w:eastAsia="方正仿宋_GB2312" w:cs="Times New Roman Regular"/>
          <w:b w:val="0"/>
          <w:color w:val="auto"/>
          <w:sz w:val="32"/>
          <w:szCs w:val="32"/>
          <w:highlight w:val="none"/>
          <w:u w:val="single"/>
          <w:lang w:val="en-US" w:eastAsia="zh-CN"/>
        </w:rPr>
        <w:t>良庆</w:t>
      </w:r>
      <w:r>
        <w:rPr>
          <w:rFonts w:hint="default" w:ascii="Times New Roman Regular" w:hAnsi="Times New Roman Regular" w:eastAsia="方正仿宋_GB2312" w:cs="Times New Roman Regular"/>
          <w:b w:val="0"/>
          <w:color w:val="auto"/>
          <w:sz w:val="32"/>
          <w:szCs w:val="32"/>
          <w:highlight w:val="none"/>
          <w:u w:val="single"/>
        </w:rPr>
        <w:t>区</w:t>
      </w:r>
      <w:r>
        <w:rPr>
          <w:rFonts w:hint="eastAsia" w:ascii="Times New Roman Regular" w:hAnsi="Times New Roman Regular" w:eastAsia="方正仿宋_GB2312" w:cs="Times New Roman Regular"/>
          <w:b w:val="0"/>
          <w:color w:val="auto"/>
          <w:sz w:val="32"/>
          <w:szCs w:val="32"/>
          <w:highlight w:val="none"/>
          <w:u w:val="single"/>
          <w:lang w:val="en-US" w:eastAsia="zh-CN"/>
        </w:rPr>
        <w:t>平乐</w:t>
      </w:r>
      <w:r>
        <w:rPr>
          <w:rFonts w:hint="default" w:ascii="Times New Roman Regular" w:hAnsi="Times New Roman Regular" w:eastAsia="方正仿宋_GB2312" w:cs="Times New Roman Regular"/>
          <w:b w:val="0"/>
          <w:color w:val="auto"/>
          <w:sz w:val="32"/>
          <w:szCs w:val="32"/>
          <w:highlight w:val="none"/>
          <w:u w:val="single"/>
        </w:rPr>
        <w:t>大道</w:t>
      </w:r>
      <w:r>
        <w:rPr>
          <w:rFonts w:hint="eastAsia" w:ascii="Times New Roman Regular" w:hAnsi="Times New Roman Regular" w:eastAsia="方正仿宋_GB2312" w:cs="Times New Roman Regular"/>
          <w:b w:val="0"/>
          <w:color w:val="auto"/>
          <w:sz w:val="32"/>
          <w:szCs w:val="32"/>
          <w:highlight w:val="none"/>
          <w:u w:val="single"/>
          <w:lang w:val="en-US" w:eastAsia="zh-CN"/>
        </w:rPr>
        <w:t>10</w:t>
      </w:r>
      <w:r>
        <w:rPr>
          <w:rFonts w:hint="default" w:ascii="Times New Roman Regular" w:hAnsi="Times New Roman Regular" w:eastAsia="方正仿宋_GB2312" w:cs="Times New Roman Regular"/>
          <w:b w:val="0"/>
          <w:color w:val="auto"/>
          <w:sz w:val="32"/>
          <w:szCs w:val="32"/>
          <w:highlight w:val="none"/>
          <w:u w:val="single"/>
        </w:rPr>
        <w:t>号</w:t>
      </w:r>
      <w:r>
        <w:rPr>
          <w:rFonts w:hint="eastAsia" w:ascii="Times New Roman Regular" w:hAnsi="Times New Roman Regular" w:eastAsia="方正仿宋_GB2312" w:cs="Times New Roman Regular"/>
          <w:b w:val="0"/>
          <w:color w:val="auto"/>
          <w:sz w:val="32"/>
          <w:szCs w:val="32"/>
          <w:highlight w:val="none"/>
          <w:u w:val="single"/>
          <w:lang w:val="en-US" w:eastAsia="zh-CN"/>
        </w:rPr>
        <w:t>商务街4号楼3楼302号办公室</w:t>
      </w:r>
      <w:r>
        <w:rPr>
          <w:rFonts w:hint="default" w:ascii="Times New Roman Regular" w:hAnsi="Times New Roman Regular" w:eastAsia="方正仿宋_GB2312" w:cs="Times New Roman Regular"/>
          <w:b w:val="0"/>
          <w:color w:val="auto"/>
          <w:sz w:val="32"/>
          <w:szCs w:val="32"/>
          <w:highlight w:val="none"/>
        </w:rPr>
        <w:t>，邮编：530</w:t>
      </w:r>
      <w:r>
        <w:rPr>
          <w:rFonts w:hint="eastAsia" w:ascii="Times New Roman Regular" w:hAnsi="Times New Roman Regular" w:eastAsia="方正仿宋_GB2312" w:cs="Times New Roman Regular"/>
          <w:b w:val="0"/>
          <w:color w:val="auto"/>
          <w:sz w:val="32"/>
          <w:szCs w:val="32"/>
          <w:highlight w:val="none"/>
          <w:lang w:val="en-US" w:eastAsia="zh-CN"/>
        </w:rPr>
        <w:t>200</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十、监督与投诉：</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广西国际博览集团有限公司经营管理部</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联系人：刘女士</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Regular" w:hAnsi="Times New Roman Regular" w:eastAsia="方正仿宋_GB2312" w:cs="Times New Roman Regular"/>
          <w:b w:val="0"/>
          <w:color w:val="auto"/>
          <w:sz w:val="32"/>
          <w:szCs w:val="32"/>
          <w:highlight w:val="none"/>
        </w:rPr>
      </w:pPr>
      <w:r>
        <w:rPr>
          <w:rFonts w:hint="default" w:ascii="Times New Roman Regular" w:hAnsi="Times New Roman Regular" w:eastAsia="方正仿宋_GB2312" w:cs="Times New Roman Regular"/>
          <w:b w:val="0"/>
          <w:color w:val="auto"/>
          <w:sz w:val="32"/>
          <w:szCs w:val="32"/>
          <w:highlight w:val="none"/>
        </w:rPr>
        <w:t>联系电话：0771-2212522</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641" w:firstLineChars="200"/>
        <w:textAlignment w:val="auto"/>
        <w:rPr>
          <w:rFonts w:hint="eastAsia" w:ascii="方正仿宋_GB2312" w:hAnsi="方正仿宋_GB2312" w:eastAsia="方正仿宋_GB2312" w:cs="方正仿宋_GB2312"/>
          <w:b/>
          <w:color w:val="auto"/>
          <w:sz w:val="32"/>
          <w:szCs w:val="32"/>
          <w:highlight w:val="none"/>
        </w:rPr>
      </w:pPr>
      <w:r>
        <w:rPr>
          <w:rFonts w:hint="eastAsia" w:ascii="方正仿宋_GB2312" w:hAnsi="方正仿宋_GB2312" w:eastAsia="方正仿宋_GB2312" w:cs="方正仿宋_GB2312"/>
          <w:b/>
          <w:color w:val="auto"/>
          <w:sz w:val="32"/>
          <w:szCs w:val="32"/>
          <w:highlight w:val="none"/>
        </w:rPr>
        <w:t>十一、网上公告媒体查询：</w:t>
      </w:r>
    </w:p>
    <w:p>
      <w:pPr>
        <w:keepNext w:val="0"/>
        <w:keepLines w:val="0"/>
        <w:pageBreakBefore w:val="0"/>
        <w:widowControl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color w:val="auto"/>
          <w:sz w:val="32"/>
          <w:szCs w:val="32"/>
          <w:highlight w:val="none"/>
        </w:rPr>
      </w:pPr>
      <w:r>
        <w:rPr>
          <w:rFonts w:hint="eastAsia" w:ascii="方正仿宋_GB2312" w:hAnsi="方正仿宋_GB2312" w:eastAsia="方正仿宋_GB2312" w:cs="方正仿宋_GB2312"/>
          <w:color w:val="auto"/>
          <w:sz w:val="32"/>
          <w:szCs w:val="32"/>
          <w:highlight w:val="none"/>
        </w:rPr>
        <w:t>广西国际博览集团有限公司官方网站</w:t>
      </w:r>
      <w:r>
        <w:rPr>
          <w:rFonts w:hint="default" w:ascii="Times New Roman" w:hAnsi="Times New Roman" w:eastAsia="仿宋_GB2312" w:cs="Times New Roman"/>
          <w:color w:val="auto"/>
          <w:sz w:val="32"/>
          <w:szCs w:val="32"/>
          <w:highlight w:val="none"/>
        </w:rPr>
        <w:t>（https://www.gxexpogp.cn/）</w:t>
      </w:r>
    </w:p>
    <w:p>
      <w:pPr>
        <w:pStyle w:val="3"/>
        <w:pageBreakBefore w:val="0"/>
        <w:widowControl w:val="0"/>
        <w:kinsoku/>
        <w:wordWrap/>
        <w:overflowPunct/>
        <w:topLinePunct w:val="0"/>
        <w:autoSpaceDE/>
        <w:autoSpaceDN/>
        <w:bidi w:val="0"/>
        <w:spacing w:line="600" w:lineRule="exact"/>
        <w:textAlignment w:val="auto"/>
        <w:rPr>
          <w:rFonts w:hint="eastAsia" w:ascii="方正仿宋_GB2312" w:hAnsi="方正仿宋_GB2312" w:eastAsia="方正仿宋_GB2312" w:cs="方正仿宋_GB2312"/>
          <w:color w:val="auto"/>
          <w:sz w:val="32"/>
          <w:szCs w:val="32"/>
          <w:highlight w:val="none"/>
        </w:rPr>
      </w:pPr>
    </w:p>
    <w:p>
      <w:pPr>
        <w:pageBreakBefore w:val="0"/>
        <w:widowControl w:val="0"/>
        <w:kinsoku/>
        <w:wordWrap/>
        <w:overflowPunct/>
        <w:topLinePunct w:val="0"/>
        <w:autoSpaceDE/>
        <w:autoSpaceDN/>
        <w:bidi w:val="0"/>
        <w:spacing w:line="600" w:lineRule="exact"/>
        <w:ind w:firstLine="3520" w:firstLineChars="11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广西东博国际</w:t>
      </w:r>
      <w:r>
        <w:rPr>
          <w:rFonts w:hint="eastAsia" w:ascii="方正仿宋_GB2312" w:hAnsi="方正仿宋_GB2312" w:eastAsia="方正仿宋_GB2312" w:cs="方正仿宋_GB2312"/>
          <w:color w:val="auto"/>
          <w:sz w:val="32"/>
          <w:szCs w:val="32"/>
          <w:highlight w:val="none"/>
          <w:lang w:val="en-US" w:eastAsia="zh-CN"/>
        </w:rPr>
        <w:t>经贸投资</w:t>
      </w:r>
      <w:r>
        <w:rPr>
          <w:rFonts w:hint="eastAsia" w:ascii="方正仿宋_GB2312" w:hAnsi="方正仿宋_GB2312" w:eastAsia="方正仿宋_GB2312" w:cs="方正仿宋_GB2312"/>
          <w:color w:val="auto"/>
          <w:sz w:val="32"/>
          <w:szCs w:val="32"/>
          <w:highlight w:val="none"/>
        </w:rPr>
        <w:t xml:space="preserve">有限公司 </w:t>
      </w:r>
    </w:p>
    <w:p>
      <w:pPr>
        <w:pageBreakBefore w:val="0"/>
        <w:widowControl w:val="0"/>
        <w:kinsoku/>
        <w:wordWrap/>
        <w:overflowPunct/>
        <w:topLinePunct w:val="0"/>
        <w:autoSpaceDE/>
        <w:autoSpaceDN/>
        <w:bidi w:val="0"/>
        <w:spacing w:line="600" w:lineRule="exact"/>
        <w:ind w:firstLine="4800" w:firstLineChars="1500"/>
        <w:textAlignment w:val="auto"/>
        <w:rPr>
          <w:rFonts w:hint="eastAsia" w:ascii="方正仿宋_GB2312" w:hAnsi="方正仿宋_GB2312" w:eastAsia="方正仿宋_GB2312" w:cs="方正仿宋_GB2312"/>
          <w:color w:val="auto"/>
          <w:sz w:val="32"/>
          <w:szCs w:val="32"/>
          <w:highlight w:val="none"/>
        </w:rPr>
      </w:pPr>
      <w:r>
        <w:rPr>
          <w:rFonts w:hint="default" w:ascii="Times New Roman Regular" w:hAnsi="Times New Roman Regular" w:eastAsia="方正仿宋_GB2312" w:cs="Times New Roman Regular"/>
          <w:color w:val="auto"/>
          <w:sz w:val="32"/>
          <w:szCs w:val="32"/>
          <w:highlight w:val="none"/>
          <w:lang w:eastAsia="zh-CN"/>
        </w:rPr>
        <w:t>202</w:t>
      </w:r>
      <w:r>
        <w:rPr>
          <w:rFonts w:hint="eastAsia" w:ascii="Times New Roman Regular" w:hAnsi="Times New Roman Regular" w:eastAsia="方正仿宋_GB2312" w:cs="Times New Roman Regular"/>
          <w:color w:val="auto"/>
          <w:sz w:val="32"/>
          <w:szCs w:val="32"/>
          <w:highlight w:val="none"/>
          <w:lang w:val="en-US" w:eastAsia="zh-CN"/>
        </w:rPr>
        <w:t>5</w:t>
      </w:r>
      <w:r>
        <w:rPr>
          <w:rFonts w:hint="default" w:ascii="Times New Roman Regular" w:hAnsi="Times New Roman Regular" w:eastAsia="方正仿宋_GB2312" w:cs="Times New Roman Regular"/>
          <w:color w:val="auto"/>
          <w:sz w:val="32"/>
          <w:szCs w:val="32"/>
          <w:highlight w:val="none"/>
          <w:lang w:eastAsia="zh-CN"/>
        </w:rPr>
        <w:t>年</w:t>
      </w:r>
      <w:r>
        <w:rPr>
          <w:rFonts w:hint="eastAsia" w:ascii="Times New Roman Regular" w:hAnsi="Times New Roman Regular" w:eastAsia="方正仿宋_GB2312" w:cs="Times New Roman Regular"/>
          <w:color w:val="auto"/>
          <w:sz w:val="32"/>
          <w:szCs w:val="32"/>
          <w:highlight w:val="none"/>
          <w:lang w:val="en-US" w:eastAsia="zh-CN"/>
        </w:rPr>
        <w:t>12</w:t>
      </w:r>
      <w:r>
        <w:rPr>
          <w:rFonts w:hint="default" w:ascii="Times New Roman Regular" w:hAnsi="Times New Roman Regular" w:eastAsia="方正仿宋_GB2312" w:cs="Times New Roman Regular"/>
          <w:color w:val="auto"/>
          <w:sz w:val="32"/>
          <w:szCs w:val="32"/>
          <w:highlight w:val="none"/>
          <w:lang w:eastAsia="zh-CN"/>
        </w:rPr>
        <w:t>月</w:t>
      </w:r>
      <w:r>
        <w:rPr>
          <w:rFonts w:hint="eastAsia" w:ascii="Times New Roman Regular" w:hAnsi="Times New Roman Regular" w:eastAsia="方正仿宋_GB2312" w:cs="Times New Roman Regular"/>
          <w:color w:val="auto"/>
          <w:sz w:val="32"/>
          <w:szCs w:val="32"/>
          <w:highlight w:val="none"/>
          <w:lang w:val="en-US" w:eastAsia="zh-CN"/>
        </w:rPr>
        <w:t>22</w:t>
      </w:r>
      <w:r>
        <w:rPr>
          <w:rFonts w:hint="default" w:ascii="Times New Roman Regular" w:hAnsi="Times New Roman Regular" w:eastAsia="方正仿宋_GB2312" w:cs="Times New Roman Regular"/>
          <w:color w:val="auto"/>
          <w:sz w:val="32"/>
          <w:szCs w:val="32"/>
          <w:highlight w:val="none"/>
          <w:lang w:eastAsia="zh-CN"/>
        </w:rPr>
        <w:t>日</w:t>
      </w:r>
      <w:r>
        <w:rPr>
          <w:rFonts w:hint="eastAsia" w:ascii="方正仿宋_GB2312" w:hAnsi="方正仿宋_GB2312" w:eastAsia="方正仿宋_GB2312" w:cs="方正仿宋_GB2312"/>
          <w:color w:val="auto"/>
          <w:sz w:val="32"/>
          <w:szCs w:val="32"/>
          <w:highlight w:val="none"/>
        </w:rPr>
        <w:t xml:space="preserve">  </w:t>
      </w:r>
    </w:p>
    <w:p>
      <w:pPr>
        <w:pageBreakBefore w:val="0"/>
        <w:widowControl w:val="0"/>
        <w:kinsoku/>
        <w:wordWrap/>
        <w:overflowPunct/>
        <w:topLinePunct w:val="0"/>
        <w:autoSpaceDE/>
        <w:autoSpaceDN/>
        <w:bidi w:val="0"/>
        <w:spacing w:line="600" w:lineRule="exact"/>
        <w:textAlignment w:val="auto"/>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00" w:lineRule="exact"/>
        <w:jc w:val="center"/>
        <w:rPr>
          <w:color w:val="auto"/>
          <w:sz w:val="32"/>
          <w:szCs w:val="32"/>
          <w:highlight w:val="none"/>
        </w:rPr>
      </w:pPr>
    </w:p>
    <w:p>
      <w:pPr>
        <w:spacing w:line="480" w:lineRule="auto"/>
        <w:jc w:val="both"/>
        <w:rPr>
          <w:color w:val="auto"/>
          <w:sz w:val="44"/>
          <w:szCs w:val="20"/>
          <w:highlight w:val="none"/>
        </w:rPr>
      </w:pPr>
    </w:p>
    <w:p>
      <w:pPr>
        <w:spacing w:line="480" w:lineRule="auto"/>
        <w:jc w:val="both"/>
        <w:rPr>
          <w:color w:val="auto"/>
          <w:sz w:val="44"/>
          <w:szCs w:val="20"/>
          <w:highlight w:val="none"/>
        </w:rPr>
      </w:pPr>
    </w:p>
    <w:p>
      <w:pPr>
        <w:spacing w:line="480" w:lineRule="auto"/>
        <w:rPr>
          <w:color w:val="auto"/>
          <w:sz w:val="44"/>
          <w:szCs w:val="20"/>
          <w:highlight w:val="none"/>
        </w:rPr>
      </w:pPr>
    </w:p>
    <w:p>
      <w:pPr>
        <w:spacing w:line="480" w:lineRule="auto"/>
        <w:rPr>
          <w:color w:val="auto"/>
          <w:sz w:val="44"/>
          <w:szCs w:val="20"/>
          <w:highlight w:val="none"/>
        </w:rPr>
      </w:pPr>
    </w:p>
    <w:p>
      <w:pPr>
        <w:spacing w:line="480" w:lineRule="auto"/>
        <w:jc w:val="center"/>
        <w:rPr>
          <w:color w:val="auto"/>
          <w:sz w:val="44"/>
          <w:szCs w:val="20"/>
          <w:highlight w:val="none"/>
        </w:rPr>
      </w:pPr>
    </w:p>
    <w:p>
      <w:pPr>
        <w:pStyle w:val="2"/>
        <w:jc w:val="both"/>
        <w:rPr>
          <w:color w:val="auto"/>
          <w:highlight w:val="none"/>
        </w:rPr>
      </w:pPr>
    </w:p>
    <w:p>
      <w:pPr>
        <w:pStyle w:val="2"/>
        <w:rPr>
          <w:color w:val="auto"/>
          <w:sz w:val="32"/>
          <w:szCs w:val="32"/>
          <w:highlight w:val="none"/>
        </w:rPr>
      </w:pPr>
      <w:bookmarkStart w:id="30" w:name="_Toc77937042"/>
      <w:r>
        <w:rPr>
          <w:color w:val="auto"/>
          <w:highlight w:val="none"/>
        </w:rPr>
        <w:t>第二章  竞标人须知</w:t>
      </w:r>
      <w:bookmarkEnd w:id="30"/>
    </w:p>
    <w:p>
      <w:pPr>
        <w:spacing w:line="400" w:lineRule="exact"/>
        <w:jc w:val="center"/>
        <w:rPr>
          <w:color w:val="auto"/>
          <w:sz w:val="32"/>
          <w:szCs w:val="32"/>
          <w:highlight w:val="none"/>
        </w:rPr>
      </w:pPr>
    </w:p>
    <w:p>
      <w:pPr>
        <w:pStyle w:val="3"/>
        <w:rPr>
          <w:color w:val="auto"/>
          <w:highlight w:val="none"/>
        </w:rPr>
      </w:pPr>
    </w:p>
    <w:p>
      <w:pPr>
        <w:rPr>
          <w:color w:val="auto"/>
          <w:highlight w:val="none"/>
        </w:rPr>
      </w:pPr>
    </w:p>
    <w:p>
      <w:pPr>
        <w:pStyle w:val="3"/>
        <w:rPr>
          <w:color w:val="auto"/>
          <w:highlight w:val="none"/>
        </w:rPr>
      </w:pPr>
    </w:p>
    <w:p>
      <w:pPr>
        <w:rPr>
          <w:color w:val="auto"/>
          <w:highlight w:val="none"/>
        </w:rPr>
      </w:pPr>
    </w:p>
    <w:p>
      <w:pPr>
        <w:pStyle w:val="3"/>
        <w:rPr>
          <w:color w:val="auto"/>
          <w:highlight w:val="none"/>
        </w:rPr>
      </w:pPr>
    </w:p>
    <w:p>
      <w:pPr>
        <w:spacing w:line="400" w:lineRule="exact"/>
        <w:jc w:val="center"/>
        <w:rPr>
          <w:b/>
          <w:bCs/>
          <w:color w:val="auto"/>
          <w:sz w:val="32"/>
          <w:szCs w:val="32"/>
          <w:highlight w:val="none"/>
        </w:rPr>
      </w:pPr>
      <w:r>
        <w:rPr>
          <w:b/>
          <w:bCs/>
          <w:color w:val="auto"/>
          <w:sz w:val="32"/>
          <w:szCs w:val="32"/>
          <w:highlight w:val="none"/>
        </w:rPr>
        <w:br w:type="page"/>
      </w:r>
    </w:p>
    <w:p>
      <w:pPr>
        <w:spacing w:line="400" w:lineRule="exact"/>
        <w:jc w:val="center"/>
        <w:rPr>
          <w:b/>
          <w:bCs/>
          <w:color w:val="auto"/>
          <w:sz w:val="32"/>
          <w:szCs w:val="32"/>
          <w:highlight w:val="none"/>
        </w:rPr>
      </w:pPr>
      <w:r>
        <w:rPr>
          <w:b/>
          <w:bCs/>
          <w:color w:val="auto"/>
          <w:sz w:val="32"/>
          <w:szCs w:val="32"/>
          <w:highlight w:val="none"/>
        </w:rPr>
        <w:t>竞标人须知前附表</w:t>
      </w:r>
    </w:p>
    <w:p>
      <w:pPr>
        <w:spacing w:line="400" w:lineRule="exact"/>
        <w:jc w:val="center"/>
        <w:rPr>
          <w:color w:val="auto"/>
          <w:sz w:val="32"/>
          <w:szCs w:val="32"/>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8" w:type="dxa"/>
            <w:noWrap w:val="0"/>
            <w:vAlign w:val="center"/>
          </w:tcPr>
          <w:p>
            <w:pPr>
              <w:pStyle w:val="17"/>
              <w:spacing w:line="240" w:lineRule="auto"/>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序号</w:t>
            </w:r>
          </w:p>
        </w:tc>
        <w:tc>
          <w:tcPr>
            <w:tcW w:w="8661" w:type="dxa"/>
            <w:noWrap w:val="0"/>
            <w:vAlign w:val="center"/>
          </w:tcPr>
          <w:p>
            <w:pPr>
              <w:pStyle w:val="17"/>
              <w:spacing w:line="240" w:lineRule="auto"/>
              <w:jc w:val="center"/>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p>
        </w:tc>
        <w:tc>
          <w:tcPr>
            <w:tcW w:w="8661" w:type="dxa"/>
            <w:noWrap w:val="0"/>
            <w:vAlign w:val="center"/>
          </w:tcPr>
          <w:p>
            <w:pPr>
              <w:pStyle w:val="8"/>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中国—东盟经贸中心线上服务平台（一期）建设项目：详见本标书第三章采购项目需求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w:t>
            </w:r>
          </w:p>
        </w:tc>
        <w:tc>
          <w:tcPr>
            <w:tcW w:w="8661" w:type="dxa"/>
            <w:noWrap w:val="0"/>
            <w:vAlign w:val="center"/>
          </w:tcPr>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（一）基础条件</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1.应征人应具备独立法人资格，营业执照经营范围包含“软件开发”“信息技术服务”等相关类目。</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2.应征人应守诚信、形象好、实力强、服务能力强且具备履约能力；应为未被 “信用中国” 列入 “黑名单”、未因虚假宣传、数据造假等行为被行政处罚。</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3.应征人近三年内无违法违规记录，无重大负面舆情。</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4.承诺并保证，不得透露任何经贸中心认为的保密信息，不得以任何形式关联经贸中心进行未经授权的商业宣传。</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5.项目建成后，平台所有权及相关数据归属经贸中心所有，应征人不得私自留存、使用或泄露平台用户信息。</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（二）团队与经验要求</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1.为项目单独设立专业团队≥10人，核心成员需包含项目总监、技术开发工程师、运营维护人员等。</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2.公司注册资本金不低于100万元人民币。</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3.具备服务政府经贸部门、或涉外机构的线上服务平台、经贸促进类系统建设经验，需提供至少3个成功案例项目合同，单个合同金额≥100万元人民币（附合同复印件及项目验收报告，合同原件备查）。</w:t>
            </w:r>
          </w:p>
          <w:p>
            <w:pPr>
              <w:pStyle w:val="8"/>
              <w:snapToGrid w:val="0"/>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4.具有跨国经贸类资源及企业客户资源优先。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p>
        </w:tc>
        <w:tc>
          <w:tcPr>
            <w:tcW w:w="8661" w:type="dxa"/>
            <w:noWrap w:val="0"/>
            <w:vAlign w:val="center"/>
          </w:tcPr>
          <w:p>
            <w:pPr>
              <w:widowControl/>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报价：竞标人须就《项目采购需求资料表》中所有采购服务内容作完整报价。</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bidi="ar-SA"/>
              </w:rPr>
              <w:t>最高限价（人民币）：</w:t>
            </w:r>
            <w:r>
              <w:rPr>
                <w:rFonts w:hint="eastAsia" w:ascii="宋体" w:hAnsi="宋体" w:eastAsia="宋体" w:cs="宋体"/>
                <w:i w:val="0"/>
                <w:iCs w:val="0"/>
                <w:caps w:val="0"/>
                <w:color w:val="auto"/>
                <w:spacing w:val="0"/>
                <w:kern w:val="2"/>
                <w:sz w:val="24"/>
                <w:szCs w:val="22"/>
                <w:highlight w:val="none"/>
                <w:shd w:val="clear" w:fill="FFFFFF"/>
                <w:lang w:val="en-US" w:eastAsia="zh-CN" w:bidi="ar-SA"/>
              </w:rPr>
              <w:t>拾玖万元捌仟元（￥：198000）</w:t>
            </w:r>
            <w:r>
              <w:rPr>
                <w:rFonts w:hint="eastAsia" w:ascii="宋体" w:hAnsi="宋体" w:eastAsia="宋体" w:cs="宋体"/>
                <w:color w:val="auto"/>
                <w:kern w:val="2"/>
                <w:sz w:val="24"/>
                <w:szCs w:val="22"/>
                <w:highlight w:val="none"/>
                <w:lang w:val="en-US" w:eastAsia="zh-CN" w:bidi="ar-SA"/>
              </w:rPr>
              <w:t>，最后报价</w:t>
            </w:r>
            <w:r>
              <w:rPr>
                <w:rFonts w:hint="eastAsia" w:ascii="宋体" w:hAnsi="宋体" w:eastAsia="宋体" w:cs="宋体"/>
                <w:color w:val="auto"/>
                <w:sz w:val="24"/>
                <w:szCs w:val="24"/>
                <w:highlight w:val="none"/>
              </w:rPr>
              <w:t>超过限价的为无效竞标。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w:t>
            </w:r>
          </w:p>
        </w:tc>
        <w:tc>
          <w:tcPr>
            <w:tcW w:w="8661" w:type="dxa"/>
            <w:noWrap w:val="0"/>
            <w:vAlign w:val="center"/>
          </w:tcPr>
          <w:p>
            <w:pPr>
              <w:pStyle w:val="8"/>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磋商响应文件：正本一份；副本</w:t>
            </w:r>
            <w:r>
              <w:rPr>
                <w:rFonts w:hint="eastAsia"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w:t>
            </w:r>
          </w:p>
        </w:tc>
        <w:tc>
          <w:tcPr>
            <w:tcW w:w="8661" w:type="dxa"/>
            <w:noWrap w:val="0"/>
            <w:vAlign w:val="center"/>
          </w:tcPr>
          <w:p>
            <w:pPr>
              <w:pStyle w:val="17"/>
              <w:spacing w:line="240" w:lineRule="auto"/>
              <w:jc w:val="both"/>
              <w:rPr>
                <w:rFonts w:hint="eastAsia" w:ascii="宋体" w:hAnsi="宋体" w:eastAsia="宋体" w:cs="宋体"/>
                <w:bCs w:val="0"/>
                <w:color w:val="auto"/>
                <w:sz w:val="24"/>
                <w:szCs w:val="22"/>
                <w:highlight w:val="none"/>
              </w:rPr>
            </w:pPr>
            <w:r>
              <w:rPr>
                <w:rFonts w:hint="eastAsia" w:ascii="宋体" w:hAnsi="宋体" w:eastAsia="宋体" w:cs="宋体"/>
                <w:color w:val="auto"/>
                <w:sz w:val="24"/>
                <w:szCs w:val="22"/>
                <w:highlight w:val="none"/>
              </w:rPr>
              <w:t>磋商响应文件递交截止</w:t>
            </w:r>
            <w:r>
              <w:rPr>
                <w:rFonts w:hint="eastAsia" w:ascii="宋体" w:hAnsi="宋体" w:eastAsia="宋体" w:cs="宋体"/>
                <w:color w:val="auto"/>
                <w:kern w:val="2"/>
                <w:sz w:val="24"/>
                <w:szCs w:val="22"/>
                <w:highlight w:val="none"/>
                <w:lang w:val="en-US" w:eastAsia="zh-CN" w:bidi="ar-SA"/>
              </w:rPr>
              <w:t>时间：</w:t>
            </w:r>
            <w:r>
              <w:rPr>
                <w:rFonts w:hint="eastAsia" w:ascii="宋体" w:hAnsi="宋体" w:eastAsia="宋体" w:cs="宋体"/>
                <w:b w:val="0"/>
                <w:color w:val="auto"/>
                <w:sz w:val="24"/>
                <w:szCs w:val="22"/>
                <w:highlight w:val="yellow"/>
                <w:u w:val="none"/>
                <w:lang w:eastAsia="zh-CN"/>
              </w:rPr>
              <w:t>2025年12月26日上午09时00分前</w:t>
            </w:r>
          </w:p>
          <w:p>
            <w:pPr>
              <w:pStyle w:val="8"/>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地址：广西南宁市良庆区平乐大道10号商务街4号楼3</w:t>
            </w:r>
            <w:r>
              <w:rPr>
                <w:rFonts w:hint="eastAsia" w:hAnsi="宋体" w:cs="宋体"/>
                <w:color w:val="auto"/>
                <w:sz w:val="24"/>
                <w:szCs w:val="24"/>
                <w:highlight w:val="none"/>
                <w:lang w:val="en-US" w:eastAsia="zh-CN"/>
              </w:rPr>
              <w:t>02</w:t>
            </w:r>
            <w:r>
              <w:rPr>
                <w:rFonts w:hint="eastAsia" w:ascii="宋体" w:hAnsi="宋体" w:eastAsia="宋体" w:cs="宋体"/>
                <w:color w:val="auto"/>
                <w:sz w:val="24"/>
                <w:szCs w:val="24"/>
                <w:highlight w:val="none"/>
              </w:rPr>
              <w:t>办公室</w:t>
            </w:r>
            <w:r>
              <w:rPr>
                <w:rFonts w:hint="eastAsia" w:ascii="宋体" w:hAnsi="宋体" w:eastAsia="宋体" w:cs="宋体"/>
                <w:color w:val="auto"/>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6</w:t>
            </w:r>
          </w:p>
        </w:tc>
        <w:tc>
          <w:tcPr>
            <w:tcW w:w="8661" w:type="dxa"/>
            <w:noWrap w:val="0"/>
            <w:vAlign w:val="center"/>
          </w:tcPr>
          <w:p>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磋商响应文件有效期：响应文件递交截止日期后3</w:t>
            </w:r>
            <w:r>
              <w:rPr>
                <w:rFonts w:hint="eastAsia" w:hAnsi="宋体" w:cs="宋体"/>
                <w:color w:val="auto"/>
                <w:sz w:val="24"/>
                <w:szCs w:val="22"/>
                <w:highlight w:val="none"/>
                <w:lang w:val="en-US" w:eastAsia="zh-CN"/>
              </w:rPr>
              <w:t>0</w:t>
            </w:r>
            <w:r>
              <w:rPr>
                <w:rFonts w:hint="eastAsia" w:ascii="宋体" w:hAnsi="宋体" w:eastAsia="宋体" w:cs="宋体"/>
                <w:color w:val="auto"/>
                <w:sz w:val="24"/>
                <w:szCs w:val="22"/>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98" w:type="dxa"/>
            <w:noWrap w:val="0"/>
            <w:vAlign w:val="center"/>
          </w:tcPr>
          <w:p>
            <w:pPr>
              <w:pStyle w:val="17"/>
              <w:spacing w:line="240" w:lineRule="auto"/>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7</w:t>
            </w:r>
          </w:p>
        </w:tc>
        <w:tc>
          <w:tcPr>
            <w:tcW w:w="8661" w:type="dxa"/>
            <w:noWrap w:val="0"/>
            <w:vAlign w:val="center"/>
          </w:tcPr>
          <w:p>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磋商时间：</w:t>
            </w:r>
            <w:bookmarkStart w:id="31" w:name="OLE_LINK61"/>
            <w:bookmarkStart w:id="32" w:name="OLE_LINK62"/>
            <w:r>
              <w:rPr>
                <w:rFonts w:hint="eastAsia" w:hAnsi="宋体" w:cs="宋体"/>
                <w:color w:val="auto"/>
                <w:sz w:val="24"/>
                <w:szCs w:val="22"/>
                <w:highlight w:val="yellow"/>
                <w:lang w:eastAsia="zh-CN"/>
              </w:rPr>
              <w:t>2025年12月26日上午09时00分</w:t>
            </w:r>
          </w:p>
          <w:bookmarkEnd w:id="31"/>
          <w:bookmarkEnd w:id="32"/>
          <w:p>
            <w:pPr>
              <w:pStyle w:val="17"/>
              <w:spacing w:line="240" w:lineRule="auto"/>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磋商地点：广西南宁市良庆区平乐大道10号商务街4号楼213会议室</w:t>
            </w:r>
          </w:p>
        </w:tc>
      </w:tr>
    </w:tbl>
    <w:p>
      <w:pPr>
        <w:spacing w:line="400" w:lineRule="exact"/>
        <w:jc w:val="center"/>
        <w:rPr>
          <w:color w:val="auto"/>
          <w:sz w:val="32"/>
          <w:szCs w:val="32"/>
          <w:highlight w:val="none"/>
        </w:rPr>
      </w:pPr>
    </w:p>
    <w:p>
      <w:pPr>
        <w:spacing w:line="400" w:lineRule="exact"/>
        <w:rPr>
          <w:color w:val="auto"/>
          <w:sz w:val="32"/>
          <w:szCs w:val="32"/>
          <w:highlight w:val="none"/>
        </w:rPr>
      </w:pPr>
      <w:r>
        <w:rPr>
          <w:color w:val="auto"/>
          <w:sz w:val="32"/>
          <w:szCs w:val="32"/>
          <w:highlight w:val="none"/>
        </w:rPr>
        <w:br w:type="page"/>
      </w:r>
    </w:p>
    <w:p>
      <w:pPr>
        <w:spacing w:line="400" w:lineRule="exact"/>
        <w:rPr>
          <w:b/>
          <w:bCs/>
          <w:color w:val="auto"/>
          <w:sz w:val="32"/>
          <w:szCs w:val="32"/>
          <w:highlight w:val="none"/>
        </w:rPr>
      </w:pPr>
    </w:p>
    <w:p>
      <w:pPr>
        <w:spacing w:line="400" w:lineRule="exact"/>
        <w:jc w:val="center"/>
        <w:rPr>
          <w:b/>
          <w:bCs/>
          <w:color w:val="auto"/>
          <w:sz w:val="32"/>
          <w:szCs w:val="32"/>
          <w:highlight w:val="none"/>
        </w:rPr>
      </w:pPr>
      <w:r>
        <w:rPr>
          <w:b/>
          <w:bCs/>
          <w:color w:val="auto"/>
          <w:sz w:val="32"/>
          <w:szCs w:val="32"/>
          <w:highlight w:val="none"/>
        </w:rPr>
        <w:t>竞标人须知</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一、总　则</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适用范围</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rPr>
        <w:t>1.1项目名称：</w:t>
      </w:r>
      <w:r>
        <w:rPr>
          <w:rFonts w:hint="eastAsia" w:ascii="宋体" w:hAnsi="宋体" w:eastAsia="宋体" w:cs="宋体"/>
          <w:color w:val="auto"/>
          <w:sz w:val="24"/>
          <w:szCs w:val="24"/>
          <w:highlight w:val="none"/>
          <w:shd w:val="clear"/>
          <w:lang w:eastAsia="zh-CN"/>
        </w:rPr>
        <w:t>中国—东盟经贸中心线上服务平台（一期）建设项目</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本文件仅适用于本文件中所叙述的货物、服务类竞争性磋商采购项目。</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定义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2.1“采购人”是指：广西东博国际</w:t>
      </w:r>
      <w:r>
        <w:rPr>
          <w:rFonts w:hint="eastAsia" w:ascii="宋体" w:hAnsi="宋体" w:cs="宋体"/>
          <w:color w:val="auto"/>
          <w:sz w:val="24"/>
          <w:szCs w:val="24"/>
          <w:highlight w:val="none"/>
          <w:lang w:val="en-US" w:eastAsia="zh-CN"/>
        </w:rPr>
        <w:t>经贸投资</w:t>
      </w:r>
      <w:r>
        <w:rPr>
          <w:rFonts w:hint="eastAsia" w:ascii="宋体" w:hAnsi="宋体" w:eastAsia="宋体" w:cs="宋体"/>
          <w:color w:val="auto"/>
          <w:sz w:val="24"/>
          <w:szCs w:val="24"/>
          <w:highlight w:val="none"/>
        </w:rPr>
        <w:t xml:space="preserve">有限公司。 </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2.2“竞标人”是指响应本文件要求，参加磋商的法人或者其他组织。如果该竞标人在本次磋商中成交,即成为“成交供应商”。</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2.3“货物”是指各种形态和种类的物品，包括原材料、燃料、设备、产品等。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2.4“服务”是指除货物和工程以外的其他采购对象。</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2.5“竞争性磋商响应文件”是指：竞标人根据本文件要求，编制包含报价、技术和服务等所有内容的文件。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竞标人的基本条件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基础条件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1.应征人应具备独立法人资格，营业执照经营范围包含“软件开发”“信息技术服务”等相关类目。</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2.应征人应守诚信、形象好、实力强、服务能力强且具备履约能力；应为未被 “信用中国” 列入 “黑名单”、未因虚假宣传、数据造假等行为被行政处罚。</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3.应征人近三年内无违法违规记录，无重大负面舆情。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4.承诺并保证，不得透露任何经贸中心认为的保密信息，不得以任何形式关联经贸中心进行未经授权的商业宣传。</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5.项目建成后，平台所有权及相关数据归属经贸中心所有，应征人不得私自留存、使用或泄露平台用户信息。</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团队与经验要求</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1.为项目单独设立专业团队≥10人，核心成员需包含项目总监、技术开发工程师、运营维护人员等。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2.公司注册资本金不低于100万元人民币。</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3.具备服务政府经贸部门、或涉外机构的线上服务平台、经贸促进类系统建设经验，需提供至少3个成功案例项目合同，单个合同金额≥100万元人民币（附合同复印件及项目验收报告，合同原件备查）。</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4.具有跨国经贸类资源及企业客户资源优先。</w:t>
      </w:r>
      <w:r>
        <w:rPr>
          <w:rFonts w:hint="eastAsia" w:ascii="宋体" w:hAnsi="宋体" w:eastAsia="宋体" w:cs="宋体"/>
          <w:color w:val="auto"/>
          <w:sz w:val="24"/>
          <w:szCs w:val="32"/>
          <w:highlight w:val="none"/>
        </w:rPr>
        <w:t>竞标人资格条件详见“竞标人须知前附表”。</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竞争性磋商公告、磋商文件的修改</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4.1竞争性磋商公告发布媒体：广西国际博览集团有限公司官方网站https://www.gxexpogp.cn/</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4.2竞争性</w:t>
      </w:r>
      <w:r>
        <w:rPr>
          <w:rFonts w:hint="eastAsia" w:ascii="宋体" w:hAnsi="宋体" w:eastAsia="宋体" w:cs="宋体"/>
          <w:color w:val="auto"/>
          <w:sz w:val="24"/>
          <w:szCs w:val="24"/>
          <w:highlight w:val="none"/>
        </w:rPr>
        <w:t>磋商采购文件的澄清和修改：</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r>
        <w:rPr>
          <w:rFonts w:hint="eastAsia" w:ascii="宋体" w:hAnsi="宋体" w:eastAsia="宋体" w:cs="宋体"/>
          <w:bCs/>
          <w:color w:val="auto"/>
          <w:sz w:val="24"/>
          <w:szCs w:val="24"/>
          <w:highlight w:val="none"/>
        </w:rPr>
        <w:t>竞标人应认真审核《</w:t>
      </w:r>
      <w:bookmarkStart w:id="33" w:name="_Hlk77955883"/>
      <w:r>
        <w:rPr>
          <w:rFonts w:hint="eastAsia" w:ascii="宋体" w:hAnsi="宋体" w:eastAsia="宋体" w:cs="宋体"/>
          <w:bCs/>
          <w:color w:val="auto"/>
          <w:sz w:val="24"/>
          <w:szCs w:val="24"/>
          <w:highlight w:val="none"/>
        </w:rPr>
        <w:t>采购项目需求</w:t>
      </w:r>
      <w:bookmarkEnd w:id="33"/>
      <w:r>
        <w:rPr>
          <w:rFonts w:hint="eastAsia" w:ascii="宋体" w:hAnsi="宋体" w:eastAsia="宋体" w:cs="宋体"/>
          <w:bCs/>
          <w:color w:val="auto"/>
          <w:sz w:val="24"/>
          <w:szCs w:val="24"/>
          <w:highlight w:val="none"/>
        </w:rPr>
        <w:t>》中的技术参数、配置及要求，如发现表中技术参数、配置有误或要求不合理的，竞标人必须在规定的时间前要求澄清，否则，由此产生的后果由竞标人负责。</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4.2.2任何要求澄清采购文件的竞标人，均应在</w:t>
      </w:r>
      <w:r>
        <w:rPr>
          <w:rFonts w:hint="eastAsia" w:ascii="宋体" w:hAnsi="宋体" w:eastAsia="宋体" w:cs="宋体"/>
          <w:bCs/>
          <w:color w:val="auto"/>
          <w:sz w:val="24"/>
          <w:szCs w:val="24"/>
          <w:highlight w:val="none"/>
        </w:rPr>
        <w:t>竞标文件提交截止</w:t>
      </w:r>
      <w:r>
        <w:rPr>
          <w:rFonts w:hint="eastAsia" w:ascii="宋体" w:hAnsi="宋体" w:eastAsia="宋体" w:cs="宋体"/>
          <w:bCs/>
          <w:color w:val="auto"/>
          <w:sz w:val="24"/>
          <w:szCs w:val="24"/>
          <w:highlight w:val="none"/>
          <w:lang w:val="en-US" w:eastAsia="zh-CN"/>
        </w:rPr>
        <w:t>两</w:t>
      </w:r>
      <w:r>
        <w:rPr>
          <w:rFonts w:hint="eastAsia" w:ascii="宋体" w:hAnsi="宋体" w:eastAsia="宋体" w:cs="宋体"/>
          <w:bCs/>
          <w:color w:val="auto"/>
          <w:sz w:val="24"/>
          <w:szCs w:val="24"/>
          <w:highlight w:val="none"/>
        </w:rPr>
        <w:t>日前的正常</w:t>
      </w:r>
      <w:r>
        <w:rPr>
          <w:rFonts w:hint="eastAsia" w:ascii="宋体" w:hAnsi="宋体" w:eastAsia="宋体" w:cs="宋体"/>
          <w:color w:val="auto"/>
          <w:sz w:val="24"/>
          <w:szCs w:val="24"/>
          <w:highlight w:val="none"/>
        </w:rPr>
        <w:t>工作时间以书面形式通知采购人，同时认定其他澄清方式为无效，采购人将予以答复。</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4.2.3采购人可视具体情况，延长竞标截止时间和开标时间。采购人至少在磋商文件要求提交响应文件的截止时间前，将变更时间通知所有磋商文件收受人，并在</w:t>
      </w:r>
      <w:r>
        <w:rPr>
          <w:rFonts w:hint="eastAsia" w:ascii="宋体" w:hAnsi="宋体" w:eastAsia="宋体" w:cs="宋体"/>
          <w:color w:val="auto"/>
          <w:sz w:val="24"/>
          <w:szCs w:val="32"/>
          <w:highlight w:val="none"/>
        </w:rPr>
        <w:t>广西国际博览集团有限公司官方网站</w:t>
      </w:r>
      <w:r>
        <w:rPr>
          <w:rFonts w:hint="eastAsia" w:ascii="宋体" w:hAnsi="宋体" w:eastAsia="宋体" w:cs="宋体"/>
          <w:color w:val="auto"/>
          <w:sz w:val="24"/>
          <w:szCs w:val="24"/>
          <w:highlight w:val="none"/>
        </w:rPr>
        <w:t>https://www.gxexpogp.cn/上发布变更公告。</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二、竞争性磋商响应文件的编制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竞争性磋商响应文件编制基本要求</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5.1竞标人必须按照竞争性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文件要求编制响应文件，并对其提交响应文件的真实性、合法性承担法律责任。响应文件必须对竞争性</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文件作出实质性响应，按要求装订和封装。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竞标人提交的竞争性磋商响应文件以及竞标人与采购人就有关磋商的所有来往函电均应使用中文。竞标人提交的支持文件和印刷的文献可以使用别的语言，但其相应内容必须附有中文翻译文本，在解释竞争性磋商响应文件时以翻译文本为主。</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5.3竞标人应认真阅读、并充分理解本文件的全部内容（包括所有的补充、修改内容），承诺并履行本文件中各项条款规定及要求。</w:t>
      </w:r>
      <w:r>
        <w:rPr>
          <w:rFonts w:hint="eastAsia" w:ascii="宋体" w:hAnsi="宋体" w:eastAsia="宋体" w:cs="宋体"/>
          <w:color w:val="auto"/>
          <w:sz w:val="24"/>
          <w:szCs w:val="24"/>
          <w:highlight w:val="none"/>
          <w:u w:val="single"/>
        </w:rPr>
        <w:t>对竞争性磋商文件的实质性要求和条件作出响应是指竞标人必须对竞争性磋</w:t>
      </w:r>
      <w:r>
        <w:rPr>
          <w:rFonts w:hint="default" w:hAnsi="宋体" w:cs="宋体"/>
          <w:color w:val="auto"/>
          <w:sz w:val="24"/>
          <w:szCs w:val="24"/>
          <w:highlight w:val="none"/>
          <w:u w:val="single"/>
        </w:rPr>
        <w:t>商</w:t>
      </w:r>
      <w:r>
        <w:rPr>
          <w:rFonts w:hint="eastAsia" w:ascii="宋体" w:hAnsi="宋体" w:eastAsia="宋体" w:cs="宋体"/>
          <w:color w:val="auto"/>
          <w:sz w:val="24"/>
          <w:szCs w:val="24"/>
          <w:highlight w:val="none"/>
          <w:u w:val="single"/>
        </w:rPr>
        <w:t>必须满足的技术参数要求、商务条款及其他内容等实质性要求和条件</w:t>
      </w:r>
      <w:r>
        <w:rPr>
          <w:rFonts w:hint="eastAsia" w:ascii="宋体" w:hAnsi="宋体" w:eastAsia="宋体" w:cs="宋体"/>
          <w:b/>
          <w:color w:val="auto"/>
          <w:sz w:val="24"/>
          <w:szCs w:val="24"/>
          <w:highlight w:val="none"/>
          <w:u w:val="single"/>
        </w:rPr>
        <w:t>作出满足或者优于原要求和条件的承诺</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5.4竞争性磋商响应文件必须按本文件的全部内容，包括所有的补充通知及附件进行编制。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5.5如因竞标人只填写和提供了本文件要求的部分内容和附件，而给评审造成困难，其可能导致的结果和责任由竞标人自行承担。</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5.6竞争性磋商响应文件由价格文件和商务技术文件两个部分组成。</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5.6.1价格文件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报价表</w:t>
      </w:r>
      <w:r>
        <w:rPr>
          <w:rFonts w:hint="eastAsia" w:ascii="宋体" w:hAnsi="宋体" w:eastAsia="宋体" w:cs="宋体"/>
          <w:color w:val="auto"/>
          <w:sz w:val="24"/>
          <w:szCs w:val="24"/>
          <w:highlight w:val="none"/>
        </w:rPr>
        <w:t>；（附件二）</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5.6.2 商务技术文件（应该有的必须提供,如未提供,磋商小组有权拒绝其竞争性磋商响应文件） </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color w:val="auto"/>
          <w:sz w:val="24"/>
          <w:szCs w:val="24"/>
          <w:highlight w:val="none"/>
        </w:rPr>
        <w:t>磋商函</w:t>
      </w:r>
      <w:r>
        <w:rPr>
          <w:rFonts w:hint="eastAsia" w:ascii="宋体" w:hAnsi="宋体" w:eastAsia="宋体" w:cs="宋体"/>
          <w:color w:val="auto"/>
          <w:sz w:val="24"/>
          <w:szCs w:val="24"/>
          <w:highlight w:val="none"/>
        </w:rPr>
        <w:t>；（附件一）</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34" w:name="_Hlk77953113"/>
      <w:r>
        <w:rPr>
          <w:rFonts w:hint="eastAsia" w:ascii="宋体" w:hAnsi="宋体" w:cs="宋体"/>
          <w:b/>
          <w:bCs/>
          <w:color w:val="auto"/>
          <w:sz w:val="24"/>
          <w:szCs w:val="24"/>
          <w:highlight w:val="none"/>
          <w:lang w:val="en-US" w:eastAsia="zh-CN"/>
        </w:rPr>
        <w:t>项目建设</w:t>
      </w:r>
      <w:r>
        <w:rPr>
          <w:rFonts w:hint="eastAsia" w:ascii="宋体" w:hAnsi="宋体" w:eastAsia="宋体" w:cs="宋体"/>
          <w:b/>
          <w:bCs/>
          <w:color w:val="auto"/>
          <w:sz w:val="24"/>
          <w:szCs w:val="24"/>
          <w:highlight w:val="none"/>
          <w:lang w:eastAsia="zh-CN"/>
        </w:rPr>
        <w:t>方案</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根据竞争性磋商采购文件中的要求或评分细则内容要求提供）</w:t>
      </w:r>
      <w:bookmarkEnd w:id="34"/>
      <w:r>
        <w:rPr>
          <w:rFonts w:hint="eastAsia" w:ascii="宋体" w:hAnsi="宋体" w:eastAsia="宋体" w:cs="宋体"/>
          <w:color w:val="auto"/>
          <w:sz w:val="24"/>
          <w:szCs w:val="24"/>
          <w:highlight w:val="none"/>
        </w:rPr>
        <w:t>（附件三）；</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w:t>
      </w:r>
      <w:bookmarkStart w:id="35" w:name="OLE_LINK67"/>
      <w:r>
        <w:rPr>
          <w:rFonts w:hint="eastAsia" w:ascii="宋体" w:hAnsi="宋体" w:eastAsia="宋体" w:cs="宋体"/>
          <w:b/>
          <w:color w:val="auto"/>
          <w:sz w:val="24"/>
          <w:szCs w:val="24"/>
          <w:highlight w:val="none"/>
        </w:rPr>
        <w:t>商务、技术响应、偏离情况说明表</w:t>
      </w:r>
      <w:r>
        <w:rPr>
          <w:rFonts w:hint="eastAsia" w:ascii="宋体" w:hAnsi="宋体" w:eastAsia="宋体" w:cs="宋体"/>
          <w:color w:val="auto"/>
          <w:sz w:val="24"/>
          <w:szCs w:val="24"/>
          <w:highlight w:val="none"/>
        </w:rPr>
        <w:t>（附件四）；</w:t>
      </w:r>
      <w:r>
        <w:rPr>
          <w:rFonts w:hint="eastAsia" w:ascii="宋体" w:hAnsi="宋体" w:eastAsia="宋体" w:cs="宋体"/>
          <w:b/>
          <w:color w:val="auto"/>
          <w:sz w:val="24"/>
          <w:szCs w:val="24"/>
          <w:highlight w:val="none"/>
        </w:rPr>
        <w:t>（必须提供，同时</w:t>
      </w:r>
      <w:r>
        <w:rPr>
          <w:rFonts w:hint="eastAsia" w:ascii="宋体" w:hAnsi="宋体" w:eastAsia="宋体" w:cs="宋体"/>
          <w:b/>
          <w:bCs/>
          <w:color w:val="auto"/>
          <w:sz w:val="24"/>
          <w:szCs w:val="24"/>
          <w:highlight w:val="none"/>
        </w:rPr>
        <w:t>由法定代表人或委托代理人签名并加盖单位公章，</w:t>
      </w:r>
      <w:r>
        <w:rPr>
          <w:rFonts w:hint="eastAsia" w:ascii="宋体" w:hAnsi="宋体" w:eastAsia="宋体" w:cs="宋体"/>
          <w:b/>
          <w:color w:val="auto"/>
          <w:sz w:val="24"/>
          <w:szCs w:val="24"/>
          <w:highlight w:val="none"/>
        </w:rPr>
        <w:t>否则磋商响应无效）</w:t>
      </w:r>
      <w:bookmarkEnd w:id="35"/>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法定代表人授权书原件及委托代理人身份证复印件（委托代理时必须提供；法人亲自参加时请提供法人身份证）</w:t>
      </w:r>
      <w:r>
        <w:rPr>
          <w:rFonts w:hint="eastAsia" w:ascii="宋体" w:hAnsi="宋体" w:eastAsia="宋体" w:cs="宋体"/>
          <w:color w:val="auto"/>
          <w:sz w:val="24"/>
          <w:szCs w:val="24"/>
          <w:highlight w:val="none"/>
        </w:rPr>
        <w:t xml:space="preserve">（附件五）； </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5）竞标人有效的</w:t>
      </w:r>
      <w:r>
        <w:rPr>
          <w:rFonts w:hint="eastAsia" w:ascii="宋体" w:hAnsi="宋体" w:eastAsia="宋体" w:cs="宋体"/>
          <w:b w:val="0"/>
          <w:bCs w:val="0"/>
          <w:color w:val="auto"/>
          <w:sz w:val="24"/>
          <w:szCs w:val="24"/>
          <w:highlight w:val="none"/>
        </w:rPr>
        <w:t>“营业执照</w:t>
      </w:r>
      <w:r>
        <w:rPr>
          <w:rFonts w:hint="eastAsia" w:ascii="宋体" w:hAnsi="宋体" w:eastAsia="宋体" w:cs="宋体"/>
          <w:b w:val="0"/>
          <w:bCs w:val="0"/>
          <w:color w:val="auto"/>
          <w:sz w:val="24"/>
          <w:szCs w:val="24"/>
          <w:highlight w:val="none"/>
          <w:lang w:val="en-US" w:eastAsia="zh-CN"/>
        </w:rPr>
        <w:t>副本</w:t>
      </w:r>
      <w:r>
        <w:rPr>
          <w:rFonts w:hint="eastAsia" w:ascii="宋体" w:hAnsi="宋体" w:eastAsia="宋体" w:cs="宋体"/>
          <w:b w:val="0"/>
          <w:bCs w:val="0"/>
          <w:color w:val="auto"/>
          <w:sz w:val="24"/>
          <w:szCs w:val="24"/>
          <w:highlight w:val="none"/>
        </w:rPr>
        <w:t>”复印</w:t>
      </w:r>
      <w:r>
        <w:rPr>
          <w:rFonts w:hint="eastAsia" w:ascii="宋体" w:hAnsi="宋体" w:eastAsia="宋体" w:cs="宋体"/>
          <w:color w:val="auto"/>
          <w:sz w:val="24"/>
          <w:szCs w:val="24"/>
          <w:highlight w:val="none"/>
        </w:rPr>
        <w:t>件（加盖单位公章）；</w:t>
      </w:r>
      <w:r>
        <w:rPr>
          <w:rFonts w:hint="eastAsia" w:ascii="宋体" w:hAnsi="宋体" w:eastAsia="宋体" w:cs="宋体"/>
          <w:b/>
          <w:color w:val="auto"/>
          <w:sz w:val="24"/>
          <w:szCs w:val="24"/>
          <w:highlight w:val="none"/>
        </w:rPr>
        <w:t>（必须提供）</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竞标人类似服务的业绩竞标人同类项目实施情况一览表（加盖单位公章）；</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7）</w:t>
      </w:r>
      <w:r>
        <w:rPr>
          <w:rFonts w:hint="eastAsia" w:ascii="宋体" w:hAnsi="宋体" w:eastAsia="宋体" w:cs="宋体"/>
          <w:color w:val="auto"/>
          <w:sz w:val="24"/>
          <w:szCs w:val="24"/>
          <w:highlight w:val="none"/>
        </w:rPr>
        <w:t>其他特殊资质证明</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8）</w:t>
      </w:r>
      <w:r>
        <w:rPr>
          <w:rFonts w:hint="eastAsia" w:ascii="宋体" w:hAnsi="宋体" w:eastAsia="宋体" w:cs="宋体"/>
          <w:color w:val="auto"/>
          <w:sz w:val="24"/>
          <w:szCs w:val="24"/>
          <w:highlight w:val="none"/>
        </w:rPr>
        <w:t>竞标人认为可以证明其能力或业绩的其他材料</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9）项目实施人员一览表（必须</w:t>
      </w:r>
      <w:r>
        <w:rPr>
          <w:rFonts w:hint="eastAsia" w:ascii="宋体" w:hAnsi="宋体" w:cs="宋体"/>
          <w:b/>
          <w:bCs/>
          <w:color w:val="auto"/>
          <w:sz w:val="24"/>
          <w:szCs w:val="24"/>
          <w:highlight w:val="none"/>
          <w:lang w:val="en-US" w:eastAsia="zh-CN"/>
        </w:rPr>
        <w:t>按照要求</w:t>
      </w:r>
      <w:r>
        <w:rPr>
          <w:rFonts w:hint="eastAsia" w:ascii="宋体" w:hAnsi="宋体" w:eastAsia="宋体" w:cs="宋体"/>
          <w:b/>
          <w:bCs/>
          <w:color w:val="auto"/>
          <w:sz w:val="24"/>
          <w:szCs w:val="24"/>
          <w:highlight w:val="none"/>
        </w:rPr>
        <w:t>提供</w:t>
      </w:r>
      <w:r>
        <w:rPr>
          <w:rFonts w:hint="eastAsia" w:ascii="宋体" w:hAnsi="宋体" w:cs="宋体"/>
          <w:b/>
          <w:bCs/>
          <w:color w:val="auto"/>
          <w:sz w:val="24"/>
          <w:szCs w:val="24"/>
          <w:highlight w:val="none"/>
          <w:lang w:val="en-US" w:eastAsia="zh-CN"/>
        </w:rPr>
        <w:t>材料</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eastAsia="宋体" w:cs="宋体"/>
          <w:color w:val="auto"/>
          <w:sz w:val="24"/>
          <w:szCs w:val="32"/>
          <w:highlight w:val="none"/>
          <w:lang w:val="en-US" w:eastAsia="zh-CN"/>
        </w:rPr>
        <w:t>0</w:t>
      </w:r>
      <w:r>
        <w:rPr>
          <w:rFonts w:hint="eastAsia" w:ascii="宋体" w:hAnsi="宋体" w:eastAsia="宋体" w:cs="宋体"/>
          <w:color w:val="auto"/>
          <w:sz w:val="24"/>
          <w:szCs w:val="32"/>
          <w:highlight w:val="none"/>
        </w:rPr>
        <w:t>）竞标人对本项目的合理化建议和改进措施（如有）；</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）本竞争性磋商文件要求提供的其他资料和需要说明的问题</w:t>
      </w:r>
      <w:r>
        <w:rPr>
          <w:rFonts w:hint="eastAsia" w:ascii="宋体" w:hAnsi="宋体" w:eastAsia="宋体" w:cs="宋体"/>
          <w:color w:val="auto"/>
          <w:sz w:val="24"/>
          <w:szCs w:val="32"/>
          <w:highlight w:val="none"/>
        </w:rPr>
        <w:t>（如有）</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计量单位</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三、报价要求</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7.1对于本文件中未列明，而竞标人认为必需的费用也需列入总报价。在合同实施时，采购人将不予支付成交供应商没有列入的项目费用，并认为此项目的费用已包括在总报价中。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7.2成交供应商负责本项目的</w:t>
      </w:r>
      <w:r>
        <w:rPr>
          <w:rFonts w:hint="eastAsia" w:ascii="宋体" w:hAnsi="宋体" w:cs="宋体"/>
          <w:color w:val="auto"/>
          <w:sz w:val="24"/>
          <w:szCs w:val="24"/>
          <w:highlight w:val="none"/>
          <w:lang w:val="en-US" w:eastAsia="zh-CN"/>
        </w:rPr>
        <w:t>建设</w:t>
      </w:r>
      <w:r>
        <w:rPr>
          <w:rFonts w:hint="eastAsia" w:ascii="宋体" w:hAnsi="宋体" w:eastAsia="宋体" w:cs="宋体"/>
          <w:color w:val="auto"/>
          <w:sz w:val="24"/>
          <w:szCs w:val="24"/>
          <w:highlight w:val="none"/>
          <w:lang w:val="en-US" w:eastAsia="zh-CN"/>
        </w:rPr>
        <w:t>执行</w:t>
      </w:r>
      <w:r>
        <w:rPr>
          <w:rFonts w:hint="eastAsia" w:ascii="宋体" w:hAnsi="宋体" w:eastAsia="宋体" w:cs="宋体"/>
          <w:color w:val="auto"/>
          <w:sz w:val="24"/>
          <w:szCs w:val="24"/>
          <w:highlight w:val="none"/>
        </w:rPr>
        <w:t>服务全部工作。</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竞标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竞标人原因引起的报价失误，并在磋商时被接受，其后果由竞标人自负。</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7.4竞标人须就《采购项目需求》中所有货物和服务内容作完整唯一报价。</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四、竞争性磋商响应文件的份数、封装和递交</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8.竞争性磋商响应文件的份数和封装</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8.1竞标人应将响应文件正、副本分别装订成册，在每个文本封面上标明项目名称、项目编号、磋商竞标人名称等内容，并在每个文本封面上标明“正本”或“副本”字样。竞标人应将正、副本响应文件（</w:t>
      </w:r>
      <w:r>
        <w:rPr>
          <w:rFonts w:hint="eastAsia" w:ascii="宋体" w:hAnsi="宋体" w:eastAsia="宋体" w:cs="宋体"/>
          <w:b/>
          <w:bCs/>
          <w:color w:val="auto"/>
          <w:sz w:val="24"/>
          <w:szCs w:val="24"/>
          <w:highlight w:val="none"/>
        </w:rPr>
        <w:t>正本一份、副本</w:t>
      </w:r>
      <w:r>
        <w:rPr>
          <w:rFonts w:hint="eastAsia" w:hAnsi="宋体" w:cs="宋体"/>
          <w:b/>
          <w:bCs/>
          <w:color w:val="auto"/>
          <w:sz w:val="24"/>
          <w:szCs w:val="24"/>
          <w:highlight w:val="none"/>
          <w:lang w:val="en-US" w:eastAsia="zh-CN"/>
        </w:rPr>
        <w:t>贰</w:t>
      </w:r>
      <w:r>
        <w:rPr>
          <w:rFonts w:hint="eastAsia" w:ascii="宋体" w:hAnsi="宋体" w:eastAsia="宋体" w:cs="宋体"/>
          <w:b/>
          <w:bCs/>
          <w:color w:val="auto"/>
          <w:sz w:val="24"/>
          <w:szCs w:val="24"/>
          <w:highlight w:val="none"/>
        </w:rPr>
        <w:t>份</w:t>
      </w:r>
      <w:r>
        <w:rPr>
          <w:rFonts w:hint="eastAsia" w:ascii="宋体" w:hAnsi="宋体" w:eastAsia="宋体" w:cs="宋体"/>
          <w:color w:val="auto"/>
          <w:sz w:val="24"/>
          <w:szCs w:val="24"/>
          <w:highlight w:val="none"/>
        </w:rPr>
        <w:t>）装入响应文件袋中加以密封，并在每一封贴处密封签章（公章、密封章、法定代表人或其委托代理人签字四种方式之一均可）。</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8.2竞争性磋商响应文件的信封上应写明：</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1）竞争性磋商项目编号；</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2）竞争性磋商项目名称；</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3）磋商竞标人名称。</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竞争性磋商响应文件的递交</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9.1所有竞争性磋商的响应文件应于竞争性磋商文件中规定的时间前递交到采购人指定地点。</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9.2竞争性磋商响应文件从递交截止日期后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天内有效。</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10.迟交的竞争性磋商响应文件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将拒绝或原封退回在其规定的递交竞争性磋商响应文件截止时间之后收到的任何竞争性磋商响应文件。</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五、响应文件评审程序</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磋商小组由采购人代表共3人组成。</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11.1实质审查</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小组审查竞争性磋商响应文件的实质性内容是否符合竞争性磋商文件的实质性要求。</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在对竞争性磋商响应文件的有效性、完整性和响应程度进行审查时，可以要求竞标人对响应文件中含义不明确、同类问题表述不一致或者有明显文字和计算错误的内容等作出必要的澄清、说明或者更正。竞标人的澄清、说明或者更正不得超出响应文件的范围或者改变响应文件的实质性内容。</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小组要求竞标人澄清、说明或者更正响应文件以书面形式作出。竞标人的澄清、说明或者更正应当由法定代表人或其授权代表签字或者加盖公章。</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未实质性响应磋商文件的响应文件按无效处理，</w:t>
      </w:r>
      <w:r>
        <w:rPr>
          <w:rFonts w:hint="eastAsia" w:ascii="宋体" w:hAnsi="宋体" w:eastAsia="宋体" w:cs="宋体"/>
          <w:color w:val="auto"/>
          <w:kern w:val="0"/>
          <w:sz w:val="24"/>
          <w:szCs w:val="24"/>
          <w:highlight w:val="none"/>
          <w:u w:val="single"/>
        </w:rPr>
        <w:t>磋商</w:t>
      </w:r>
      <w:r>
        <w:rPr>
          <w:rFonts w:hint="eastAsia" w:ascii="宋体" w:hAnsi="宋体" w:eastAsia="宋体" w:cs="宋体"/>
          <w:color w:val="auto"/>
          <w:sz w:val="24"/>
          <w:szCs w:val="24"/>
          <w:highlight w:val="none"/>
          <w:u w:val="single"/>
        </w:rPr>
        <w:t>小组应当告知有关竞标人。</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kern w:val="0"/>
          <w:sz w:val="24"/>
          <w:szCs w:val="24"/>
          <w:highlight w:val="none"/>
        </w:rPr>
        <w:t>磋商</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磋商</w:t>
      </w:r>
      <w:r>
        <w:rPr>
          <w:rFonts w:hint="eastAsia" w:ascii="宋体" w:hAnsi="宋体" w:eastAsia="宋体" w:cs="宋体"/>
          <w:bCs/>
          <w:color w:val="auto"/>
          <w:sz w:val="24"/>
          <w:szCs w:val="24"/>
          <w:highlight w:val="none"/>
        </w:rPr>
        <w:t>时间及地点：</w:t>
      </w:r>
      <w:r>
        <w:rPr>
          <w:rFonts w:hint="eastAsia" w:ascii="宋体" w:hAnsi="宋体" w:eastAsia="宋体" w:cs="宋体"/>
          <w:color w:val="auto"/>
          <w:sz w:val="24"/>
          <w:szCs w:val="24"/>
          <w:highlight w:val="none"/>
        </w:rPr>
        <w:t>详见</w:t>
      </w:r>
      <w:r>
        <w:rPr>
          <w:rFonts w:hint="eastAsia" w:ascii="宋体" w:hAnsi="宋体" w:eastAsia="宋体" w:cs="宋体"/>
          <w:color w:val="auto"/>
          <w:spacing w:val="-4"/>
          <w:sz w:val="24"/>
          <w:szCs w:val="24"/>
          <w:highlight w:val="none"/>
        </w:rPr>
        <w:t>本须知前附表第7项规定。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（1）磋商小组所有成员应当集中与单一竞标人分别进行磋商，并给予所有参加磋商的竞标人平等的磋商机会。</w:t>
      </w:r>
    </w:p>
    <w:p>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小组根据与竞标人</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情况不可实质性变动的内容，须经采购人重新确认。</w:t>
      </w:r>
    </w:p>
    <w:p>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（4）磋商</w:t>
      </w:r>
      <w:r>
        <w:rPr>
          <w:rFonts w:hint="eastAsia" w:ascii="宋体" w:hAnsi="宋体" w:eastAsia="宋体" w:cs="宋体"/>
          <w:color w:val="auto"/>
          <w:sz w:val="24"/>
          <w:szCs w:val="24"/>
          <w:highlight w:val="none"/>
        </w:rPr>
        <w:t>评审在严格保密的情况下进行，</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的任何一方不得透露与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有关的其他竞标人的技术资料、价格和其他信息。</w:t>
      </w:r>
    </w:p>
    <w:p>
      <w:pPr>
        <w:keepNext w:val="0"/>
        <w:keepLines w:val="0"/>
        <w:pageBreakBefore w:val="0"/>
        <w:widowControl/>
        <w:tabs>
          <w:tab w:val="left" w:pos="54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11.3最后报价</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小组只要求商务评审和技术（服务）评审合格的</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竞标人在规定的时间内进行最后报价。</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小组按</w:t>
      </w:r>
      <w:r>
        <w:rPr>
          <w:rFonts w:hint="eastAsia" w:ascii="宋体" w:hAnsi="宋体" w:cs="宋体"/>
          <w:color w:val="auto"/>
          <w:sz w:val="24"/>
          <w:szCs w:val="24"/>
          <w:highlight w:val="none"/>
          <w:lang w:val="en-US" w:eastAsia="zh-CN"/>
        </w:rPr>
        <w:t>综合评定分数</w:t>
      </w:r>
      <w:r>
        <w:rPr>
          <w:rFonts w:hint="eastAsia" w:ascii="宋体" w:hAnsi="宋体" w:eastAsia="宋体" w:cs="宋体"/>
          <w:color w:val="auto"/>
          <w:sz w:val="24"/>
          <w:szCs w:val="24"/>
          <w:highlight w:val="none"/>
        </w:rPr>
        <w:t>从</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到</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排序，推荐成交候选人顺序，形成</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报告。原则上参加采购的竞标人不得少于3家。</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采购文件不能详细列明采购标的的技术、服务要求，需经</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由</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竞标人提供最终解决方案的，</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结束后，</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小组应当按照少数服从多数的原则投票推荐至少3家以上</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竞标人的解决方案，并要求其在规定时间内提交最后报价。</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11.3.3最后报价是</w:t>
      </w:r>
      <w:r>
        <w:rPr>
          <w:rFonts w:hint="eastAsia" w:ascii="宋体" w:hAnsi="宋体" w:eastAsia="宋体" w:cs="宋体"/>
          <w:color w:val="auto"/>
          <w:spacing w:val="-4"/>
          <w:sz w:val="24"/>
          <w:szCs w:val="24"/>
          <w:highlight w:val="none"/>
        </w:rPr>
        <w:t>磋商</w:t>
      </w:r>
      <w:r>
        <w:rPr>
          <w:rFonts w:hint="eastAsia" w:ascii="宋体" w:hAnsi="宋体" w:eastAsia="宋体" w:cs="宋体"/>
          <w:color w:val="auto"/>
          <w:sz w:val="24"/>
          <w:szCs w:val="24"/>
          <w:highlight w:val="none"/>
        </w:rPr>
        <w:t>竞标人</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响应文件的有效组成部分。</w:t>
      </w:r>
    </w:p>
    <w:p>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b/>
          <w:bCs/>
          <w:color w:val="auto"/>
          <w:sz w:val="24"/>
          <w:szCs w:val="32"/>
          <w:highlight w:val="none"/>
        </w:rPr>
      </w:pPr>
      <w:r>
        <w:rPr>
          <w:rFonts w:hint="eastAsia" w:ascii="宋体" w:hAnsi="宋体" w:eastAsia="宋体" w:cs="宋体"/>
          <w:color w:val="auto"/>
          <w:sz w:val="24"/>
          <w:szCs w:val="24"/>
          <w:highlight w:val="none"/>
        </w:rPr>
        <w:t>11.4</w:t>
      </w:r>
      <w:r>
        <w:rPr>
          <w:rFonts w:hint="eastAsia" w:ascii="宋体" w:hAnsi="宋体" w:eastAsia="宋体" w:cs="宋体"/>
          <w:b/>
          <w:bCs/>
          <w:color w:val="auto"/>
          <w:sz w:val="24"/>
          <w:szCs w:val="32"/>
          <w:highlight w:val="none"/>
        </w:rPr>
        <w:t>在评标过程中出现法律法规和磋商采购文件均没有明确规定的情形时，由磋商小组现场协商解决，协商不一致的，由全体磋商小组投票表决，以得票率二分之一以上磋商小组成员的意见为准。</w:t>
      </w:r>
    </w:p>
    <w:p>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32"/>
          <w:highlight w:val="none"/>
        </w:rPr>
        <w:t>11.5</w:t>
      </w:r>
      <w:r>
        <w:rPr>
          <w:rFonts w:hint="eastAsia" w:ascii="宋体" w:hAnsi="宋体" w:eastAsia="宋体" w:cs="宋体"/>
          <w:color w:val="auto"/>
          <w:sz w:val="24"/>
          <w:szCs w:val="24"/>
          <w:highlight w:val="none"/>
        </w:rPr>
        <w:t>特别说明：</w:t>
      </w:r>
    </w:p>
    <w:p>
      <w:pPr>
        <w:keepNext w:val="0"/>
        <w:keepLines w:val="0"/>
        <w:pageBreakBefore w:val="0"/>
        <w:widowControl/>
        <w:tabs>
          <w:tab w:val="left" w:pos="540"/>
        </w:tabs>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（1）出现下列情形之一的；当报价相同时，评标价相同时，依次按技术指标高优先、质量保证期长优先、处理问题响应时间短优先的顺序排列,评标价相同且前述指标均相同时，由</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小组各成员对评标价相同的竞标人当场投票表决，得票多者优先；按前述程序仍无法确定竞标人排名顺序的，由评审委员会抽签决定。多家竞标人参加同一项目或同一分标的竞标时，如其中两家或两家以上竞标人的法定代表人为同一人或相互之间存在投资关系且达到控股的，应当按一个竞标人认定。</w:t>
      </w:r>
    </w:p>
    <w:p>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（2）竞标人竞标所使用的资格、信誉、荣誉、业绩与企业认证必须为本法人所拥有。</w:t>
      </w:r>
    </w:p>
    <w:p>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（3）竞标人应仔细阅读</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采购文件的所有内容，按照</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采购文件的要求提交响应文件，并对所提供的全部资料的真实性承担法律责任。</w:t>
      </w:r>
    </w:p>
    <w:p>
      <w:pPr>
        <w:keepNext w:val="0"/>
        <w:keepLines w:val="0"/>
        <w:pageBreakBefore w:val="0"/>
        <w:widowControl/>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4）竞标人在竞标活动中提供任何虚假材料，其竞标无效，并报有关部门查处；中标后发现的，成交竞标人须依照《中华人民共和国消费者权益保护法》规定赔偿采购人，且民事赔偿并不免除违法竞标人的行政与刑事责任。</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b/>
          <w:color w:val="auto"/>
          <w:sz w:val="24"/>
          <w:szCs w:val="24"/>
          <w:highlight w:val="none"/>
        </w:rPr>
      </w:pPr>
      <w:bookmarkStart w:id="36" w:name="_Toc31657_WPSOffice_Level2"/>
      <w:r>
        <w:rPr>
          <w:rFonts w:hint="eastAsia" w:ascii="宋体" w:hAnsi="宋体" w:eastAsia="宋体" w:cs="宋体"/>
          <w:b/>
          <w:color w:val="auto"/>
          <w:sz w:val="24"/>
          <w:szCs w:val="24"/>
          <w:highlight w:val="none"/>
        </w:rPr>
        <w:t>六、确定成交供应商办法及结果公告</w:t>
      </w:r>
      <w:bookmarkEnd w:id="36"/>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r>
        <w:rPr>
          <w:rFonts w:hint="eastAsia" w:ascii="宋体" w:hAnsi="宋体" w:eastAsia="宋体" w:cs="宋体"/>
          <w:bCs/>
          <w:color w:val="auto"/>
          <w:sz w:val="24"/>
          <w:szCs w:val="32"/>
          <w:highlight w:val="none"/>
        </w:rPr>
        <w:t>磋商小组将按总得分由高到低排列中标候选竞标人顺序（总得分相同时，依次按投标报价低优先、技术分高优先、质量保证期长优先、提交服务成果时间短优先、处理问题到达时间短优先的顺序排列），并依照次序确定中标竞标人。</w:t>
      </w:r>
    </w:p>
    <w:p>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kern w:val="0"/>
          <w:sz w:val="24"/>
          <w:szCs w:val="24"/>
          <w:highlight w:val="none"/>
        </w:rPr>
        <w:t>采购人应当评标后</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个工作日内确定成交供应商。</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12.3采购人应当在确定成交供应商后2个工作日内，向成交供应商发出成交通知书，并在</w:t>
      </w:r>
      <w:r>
        <w:rPr>
          <w:rFonts w:hint="eastAsia" w:ascii="宋体" w:hAnsi="宋体" w:eastAsia="宋体" w:cs="宋体"/>
          <w:color w:val="auto"/>
          <w:sz w:val="24"/>
          <w:szCs w:val="32"/>
          <w:highlight w:val="none"/>
        </w:rPr>
        <w:t>广西国际博览集团有限公司</w:t>
      </w:r>
      <w:r>
        <w:rPr>
          <w:rFonts w:hint="eastAsia" w:ascii="宋体" w:hAnsi="宋体" w:eastAsia="宋体" w:cs="宋体"/>
          <w:color w:val="auto"/>
          <w:sz w:val="24"/>
          <w:szCs w:val="24"/>
          <w:highlight w:val="none"/>
        </w:rPr>
        <w:t>官网上公告成交结果。</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七、签订合同</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13.1成交供应商在收到成交通知书后，应按成交通知书中规定的时间、地点与采购人签订合同。</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13.2成交供应商不按成交通知书规定签订合同，采购人可以按本项目确定成交供应商办法确定</w:t>
      </w:r>
      <w:r>
        <w:rPr>
          <w:rFonts w:hint="eastAsia" w:hAnsi="宋体" w:cs="宋体"/>
          <w:color w:val="auto"/>
          <w:sz w:val="24"/>
          <w:szCs w:val="24"/>
          <w:highlight w:val="none"/>
          <w:lang w:val="en-US" w:eastAsia="zh-CN"/>
        </w:rPr>
        <w:t>顺位</w:t>
      </w:r>
      <w:r>
        <w:rPr>
          <w:rFonts w:hint="eastAsia" w:ascii="宋体" w:hAnsi="宋体" w:eastAsia="宋体" w:cs="宋体"/>
          <w:color w:val="auto"/>
          <w:sz w:val="24"/>
          <w:szCs w:val="24"/>
          <w:highlight w:val="none"/>
        </w:rPr>
        <w:t>竞标人作为成交供应商并签订采购合同，也可以重新开展采购活动。拒绝签订采购合同的成交供应商不得参加对该项目重新开展的采购活动。</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13.3成交供应商因不可抗力或者自身原因不能履行采购合同的，采购人可以与成交供应商之后排名第一的成交候选竞标人签订采购合同，以此类推。</w:t>
      </w:r>
    </w:p>
    <w:p>
      <w:pPr>
        <w:rPr>
          <w:color w:val="auto"/>
          <w:highlight w:val="none"/>
        </w:rPr>
      </w:pPr>
    </w:p>
    <w:p>
      <w:pPr>
        <w:jc w:val="center"/>
        <w:rPr>
          <w:b/>
          <w:bCs/>
          <w:color w:val="auto"/>
          <w:sz w:val="44"/>
          <w:szCs w:val="44"/>
          <w:highlight w:val="none"/>
        </w:rPr>
      </w:pPr>
      <w:bookmarkStart w:id="37" w:name="_Toc77937043"/>
    </w:p>
    <w:p>
      <w:pPr>
        <w:jc w:val="center"/>
        <w:rPr>
          <w:b/>
          <w:bCs/>
          <w:color w:val="auto"/>
          <w:sz w:val="44"/>
          <w:szCs w:val="44"/>
          <w:highlight w:val="none"/>
        </w:rPr>
      </w:pPr>
    </w:p>
    <w:p>
      <w:pPr>
        <w:jc w:val="center"/>
        <w:rPr>
          <w:b/>
          <w:bCs/>
          <w:color w:val="auto"/>
          <w:sz w:val="44"/>
          <w:szCs w:val="44"/>
          <w:highlight w:val="none"/>
        </w:rPr>
      </w:pPr>
    </w:p>
    <w:p>
      <w:pPr>
        <w:jc w:val="center"/>
        <w:rPr>
          <w:b/>
          <w:bCs/>
          <w:color w:val="auto"/>
          <w:sz w:val="44"/>
          <w:szCs w:val="44"/>
          <w:highlight w:val="none"/>
        </w:rPr>
      </w:pPr>
    </w:p>
    <w:p>
      <w:pPr>
        <w:jc w:val="center"/>
        <w:outlineLvl w:val="0"/>
        <w:rPr>
          <w:b/>
          <w:bCs/>
          <w:color w:val="auto"/>
          <w:highlight w:val="none"/>
        </w:rPr>
      </w:pPr>
      <w:r>
        <w:rPr>
          <w:b/>
          <w:bCs/>
          <w:color w:val="auto"/>
          <w:sz w:val="44"/>
          <w:szCs w:val="44"/>
          <w:highlight w:val="none"/>
        </w:rPr>
        <w:br w:type="page"/>
      </w:r>
      <w:r>
        <w:rPr>
          <w:b/>
          <w:bCs/>
          <w:color w:val="auto"/>
          <w:sz w:val="44"/>
          <w:szCs w:val="44"/>
          <w:highlight w:val="none"/>
        </w:rPr>
        <w:t>第三章  采购项目需求</w:t>
      </w:r>
      <w:bookmarkEnd w:id="37"/>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bookmarkStart w:id="38" w:name="_Toc77937044"/>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、采购项目类别：</w:t>
      </w:r>
      <w:r>
        <w:rPr>
          <w:rFonts w:hint="eastAsia" w:ascii="宋体" w:hAnsi="宋体" w:eastAsia="宋体" w:cs="宋体"/>
          <w:color w:val="auto"/>
          <w:sz w:val="24"/>
          <w:szCs w:val="24"/>
          <w:highlight w:val="none"/>
          <w:u w:val="single"/>
        </w:rPr>
        <w:t>服务类</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、说明：</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1.本项目需求一览表中内容如与第六章“合同条款及格式”相关条款不一致的，以本表为准。</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2.本表未明确的技术要求和规范，按国家、行业的相关标准执行。</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认为竞标人的报价明显低于其他通过符合性审查竞标人的报价，有可能影响服务质量或者不能诚信履约的，应当要求其在评标现场合理的时间内提供书面说明，必要时提交相关证明材料；竞标人不能证明其报价合理性的，磋商小组应当将其作为无效竞标处理。</w:t>
      </w: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四、采购项目需求一览表：</w:t>
      </w:r>
    </w:p>
    <w:tbl>
      <w:tblPr>
        <w:tblStyle w:val="13"/>
        <w:tblW w:w="97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782"/>
        <w:gridCol w:w="136"/>
        <w:gridCol w:w="807"/>
        <w:gridCol w:w="6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9795" w:type="dxa"/>
            <w:gridSpan w:val="5"/>
            <w:noWrap w:val="0"/>
            <w:vAlign w:val="center"/>
          </w:tcPr>
          <w:p>
            <w:pPr>
              <w:spacing w:before="144" w:line="240" w:lineRule="auto"/>
              <w:ind w:left="119"/>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一、</w:t>
            </w:r>
            <w:r>
              <w:rPr>
                <w:rFonts w:hint="eastAsia" w:ascii="宋体" w:hAnsi="宋体" w:eastAsia="宋体" w:cs="宋体"/>
                <w:color w:val="auto"/>
                <w:spacing w:val="-1"/>
                <w:sz w:val="24"/>
                <w:szCs w:val="24"/>
                <w:highlight w:val="none"/>
                <w:lang w:val="en-US" w:eastAsia="zh-CN"/>
              </w:rPr>
              <w:t>采购需求表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jc w:val="center"/>
        </w:trPr>
        <w:tc>
          <w:tcPr>
            <w:tcW w:w="645" w:type="dxa"/>
            <w:noWrap w:val="0"/>
            <w:vAlign w:val="center"/>
          </w:tcPr>
          <w:p>
            <w:pPr>
              <w:spacing w:before="195"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782" w:type="dxa"/>
            <w:noWrap w:val="0"/>
            <w:vAlign w:val="center"/>
          </w:tcPr>
          <w:p>
            <w:pPr>
              <w:spacing w:before="69"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标的名</w:t>
            </w:r>
            <w:r>
              <w:rPr>
                <w:rFonts w:hint="eastAsia" w:ascii="宋体" w:hAnsi="宋体" w:eastAsia="宋体" w:cs="宋体"/>
                <w:color w:val="auto"/>
                <w:spacing w:val="-1"/>
                <w:sz w:val="24"/>
                <w:szCs w:val="24"/>
                <w:highlight w:val="none"/>
              </w:rPr>
              <w:t>称</w:t>
            </w:r>
          </w:p>
        </w:tc>
        <w:tc>
          <w:tcPr>
            <w:tcW w:w="943" w:type="dxa"/>
            <w:gridSpan w:val="2"/>
            <w:noWrap w:val="0"/>
            <w:vAlign w:val="center"/>
          </w:tcPr>
          <w:p>
            <w:pPr>
              <w:spacing w:before="140"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数量及单位</w:t>
            </w:r>
          </w:p>
        </w:tc>
        <w:tc>
          <w:tcPr>
            <w:tcW w:w="6425" w:type="dxa"/>
            <w:noWrap w:val="0"/>
            <w:vAlign w:val="center"/>
          </w:tcPr>
          <w:p>
            <w:pPr>
              <w:spacing w:before="69"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服务内容及技术需求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5" w:type="dxa"/>
            <w:noWrap w:val="0"/>
            <w:vAlign w:val="center"/>
          </w:tcPr>
          <w:p>
            <w:pPr>
              <w:spacing w:before="68" w:line="240" w:lineRule="auto"/>
              <w:ind w:left="27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82" w:type="dxa"/>
            <w:noWrap w:val="0"/>
            <w:vAlign w:val="center"/>
          </w:tcPr>
          <w:p>
            <w:pPr>
              <w:snapToGrid w:val="0"/>
              <w:spacing w:before="159" w:beforeLines="50" w:line="400" w:lineRule="exact"/>
              <w:ind w:right="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lang w:val="en-US" w:eastAsia="zh-CN"/>
              </w:rPr>
              <w:t>中国—东盟经贸中心线上服务平台（一期）建设项目</w:t>
            </w:r>
          </w:p>
        </w:tc>
        <w:tc>
          <w:tcPr>
            <w:tcW w:w="943" w:type="dxa"/>
            <w:gridSpan w:val="2"/>
            <w:noWrap w:val="0"/>
            <w:vAlign w:val="center"/>
          </w:tcPr>
          <w:p>
            <w:pPr>
              <w:spacing w:before="68" w:line="240" w:lineRule="auto"/>
              <w:ind w:left="260"/>
              <w:jc w:val="both"/>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1</w:t>
            </w:r>
            <w:r>
              <w:rPr>
                <w:rFonts w:hint="eastAsia" w:ascii="宋体" w:hAnsi="宋体" w:eastAsia="宋体" w:cs="宋体"/>
                <w:color w:val="auto"/>
                <w:spacing w:val="-21"/>
                <w:sz w:val="24"/>
                <w:szCs w:val="24"/>
                <w:highlight w:val="none"/>
              </w:rPr>
              <w:t xml:space="preserve"> 项</w:t>
            </w:r>
          </w:p>
        </w:tc>
        <w:tc>
          <w:tcPr>
            <w:tcW w:w="64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1.采购内容：</w:t>
            </w:r>
            <w:r>
              <w:rPr>
                <w:rFonts w:hint="eastAsia" w:ascii="宋体" w:hAnsi="宋体" w:eastAsia="宋体" w:cs="宋体"/>
                <w:color w:val="auto"/>
                <w:sz w:val="24"/>
                <w:szCs w:val="24"/>
                <w:highlight w:val="none"/>
                <w:shd w:val="clear"/>
                <w:lang w:eastAsia="zh-CN"/>
              </w:rPr>
              <w:t>中国—东盟经贸中心线上服务平台（一期）建设项目</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项目总体完成</w:t>
            </w:r>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2026年1月31日前</w:t>
            </w:r>
          </w:p>
          <w:p>
            <w:pPr>
              <w:spacing w:line="24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服务内容及目标</w:t>
            </w:r>
            <w:r>
              <w:rPr>
                <w:rFonts w:hint="eastAsia" w:ascii="宋体" w:hAnsi="宋体" w:cs="宋体"/>
                <w:color w:val="auto"/>
                <w:sz w:val="24"/>
                <w:szCs w:val="24"/>
                <w:highlight w:val="none"/>
                <w:lang w:val="en-US" w:eastAsia="zh-CN"/>
              </w:rPr>
              <w:t xml:space="preserve">  </w:t>
            </w:r>
          </w:p>
          <w:p>
            <w:pPr>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核心功能：完成平台系统底座、供需信息大厅、政策查询模块、活动报名管理、客户管理（CRM）系统、外贸综合服务平台接入、企业出海服务包服务及基础技术维护功能的开发与部署；方案充分理解中国—东盟经贸中心业务模块及平台建设总体述求；满足一期建设需求清单，并预留接口外链后期服务，各板块设置内容符合中国—东盟经贸中心业务逻辑诉求；版面设计美观便捷实用。</w:t>
            </w:r>
          </w:p>
          <w:p>
            <w:pPr>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适配性要求：预留二期、三期拟建设功能的后续拓展接口，确保系统具备良好的可迭代性。</w:t>
            </w:r>
          </w:p>
          <w:p>
            <w:pPr>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技术要求：架构稳定可靠，数据安全方案完善，建立完善的应急响应机制，确保系统稳定运转。</w:t>
            </w:r>
          </w:p>
          <w:p>
            <w:pPr>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验收标准：功能覆盖符合首期建设需求，系统运行稳定，无重大技术漏洞，能支撑企业基础跨境服务需求。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9795" w:type="dxa"/>
            <w:gridSpan w:val="5"/>
            <w:noWrap w:val="0"/>
            <w:vAlign w:val="center"/>
          </w:tcPr>
          <w:p>
            <w:pPr>
              <w:spacing w:before="145" w:line="240" w:lineRule="auto"/>
              <w:ind w:left="119"/>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二、商</w:t>
            </w:r>
            <w:r>
              <w:rPr>
                <w:rFonts w:hint="eastAsia" w:ascii="宋体" w:hAnsi="宋体" w:eastAsia="宋体" w:cs="宋体"/>
                <w:color w:val="auto"/>
                <w:spacing w:val="-1"/>
                <w:sz w:val="24"/>
                <w:szCs w:val="24"/>
                <w:highlight w:val="none"/>
              </w:rPr>
              <w:t>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2563" w:type="dxa"/>
            <w:gridSpan w:val="3"/>
            <w:noWrap w:val="0"/>
            <w:vAlign w:val="center"/>
          </w:tcPr>
          <w:p>
            <w:pPr>
              <w:spacing w:before="1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w:t>
            </w:r>
            <w:r>
              <w:rPr>
                <w:rFonts w:hint="eastAsia" w:ascii="宋体" w:hAnsi="宋体" w:eastAsia="宋体" w:cs="宋体"/>
                <w:color w:val="auto"/>
                <w:spacing w:val="-1"/>
                <w:sz w:val="24"/>
                <w:szCs w:val="24"/>
                <w:highlight w:val="none"/>
              </w:rPr>
              <w:t>购上限价</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416" w:firstLineChars="200"/>
              <w:jc w:val="left"/>
              <w:textAlignment w:val="auto"/>
              <w:rPr>
                <w:rFonts w:hint="eastAsia" w:ascii="宋体" w:hAnsi="宋体" w:eastAsia="宋体" w:cs="宋体"/>
                <w:color w:val="auto"/>
                <w:sz w:val="24"/>
                <w:szCs w:val="24"/>
                <w:highlight w:val="none"/>
              </w:rPr>
            </w:pPr>
            <w:bookmarkStart w:id="39" w:name="OLE_LINK103"/>
            <w:bookmarkStart w:id="40" w:name="OLE_LINK102"/>
            <w:r>
              <w:rPr>
                <w:rFonts w:hint="eastAsia" w:ascii="宋体" w:hAnsi="宋体" w:eastAsia="宋体" w:cs="宋体"/>
                <w:color w:val="auto"/>
                <w:spacing w:val="-16"/>
                <w:sz w:val="24"/>
                <w:szCs w:val="24"/>
                <w:highlight w:val="none"/>
              </w:rPr>
              <w:t>人民</w:t>
            </w:r>
            <w:bookmarkStart w:id="41" w:name="OLE_LINK101"/>
            <w:r>
              <w:rPr>
                <w:rFonts w:hint="eastAsia" w:ascii="宋体" w:hAnsi="宋体" w:eastAsia="宋体" w:cs="宋体"/>
                <w:color w:val="auto"/>
                <w:spacing w:val="-16"/>
                <w:sz w:val="24"/>
                <w:szCs w:val="24"/>
                <w:highlight w:val="none"/>
              </w:rPr>
              <w:t>币</w:t>
            </w:r>
            <w:r>
              <w:rPr>
                <w:rFonts w:hint="eastAsia" w:ascii="Times New Roman Regular" w:hAnsi="Times New Roman Regular" w:cs="Times New Roman Regular"/>
                <w:color w:val="auto"/>
                <w:spacing w:val="-16"/>
                <w:sz w:val="24"/>
                <w:szCs w:val="24"/>
                <w:highlight w:val="none"/>
                <w:lang w:val="en-US" w:eastAsia="zh-CN"/>
              </w:rPr>
              <w:t>198000</w:t>
            </w:r>
            <w:r>
              <w:rPr>
                <w:rFonts w:hint="eastAsia" w:ascii="宋体" w:hAnsi="宋体" w:eastAsia="宋体" w:cs="宋体"/>
                <w:color w:val="auto"/>
                <w:spacing w:val="-16"/>
                <w:sz w:val="24"/>
                <w:szCs w:val="24"/>
                <w:highlight w:val="none"/>
              </w:rPr>
              <w:t>元</w:t>
            </w:r>
            <w:bookmarkEnd w:id="41"/>
            <w:r>
              <w:rPr>
                <w:rFonts w:hint="eastAsia" w:ascii="宋体" w:hAnsi="宋体" w:eastAsia="宋体" w:cs="宋体"/>
                <w:color w:val="auto"/>
                <w:spacing w:val="-16"/>
                <w:sz w:val="24"/>
                <w:szCs w:val="24"/>
                <w:highlight w:val="none"/>
              </w:rPr>
              <w:t>。</w:t>
            </w:r>
            <w:bookmarkEnd w:id="39"/>
            <w:bookmarkEnd w:id="40"/>
            <w:r>
              <w:rPr>
                <w:rFonts w:hint="eastAsia" w:ascii="宋体" w:hAnsi="宋体" w:eastAsia="宋体" w:cs="宋体"/>
                <w:color w:val="auto"/>
                <w:spacing w:val="0"/>
                <w:sz w:val="24"/>
                <w:szCs w:val="24"/>
                <w:highlight w:val="none"/>
              </w:rPr>
              <w:t>磋商报价超采购上限价的，磋商</w:t>
            </w:r>
            <w:r>
              <w:rPr>
                <w:rFonts w:hint="eastAsia" w:ascii="宋体" w:hAnsi="宋体" w:cs="宋体"/>
                <w:color w:val="auto"/>
                <w:spacing w:val="0"/>
                <w:sz w:val="24"/>
                <w:szCs w:val="24"/>
                <w:highlight w:val="none"/>
                <w:lang w:val="en-US" w:eastAsia="zh-CN"/>
              </w:rPr>
              <w:t>报价</w:t>
            </w:r>
            <w:r>
              <w:rPr>
                <w:rFonts w:hint="eastAsia" w:ascii="宋体" w:hAnsi="宋体" w:eastAsia="宋体" w:cs="宋体"/>
                <w:color w:val="auto"/>
                <w:spacing w:val="0"/>
                <w:sz w:val="24"/>
                <w:szCs w:val="24"/>
                <w:highlight w:val="none"/>
              </w:rPr>
              <w:t>无效</w:t>
            </w:r>
            <w:r>
              <w:rPr>
                <w:rFonts w:hint="eastAsia" w:ascii="宋体" w:hAnsi="宋体" w:eastAsia="宋体" w:cs="宋体"/>
                <w:color w:val="auto"/>
                <w:spacing w:val="-16"/>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2563" w:type="dxa"/>
            <w:gridSpan w:val="3"/>
            <w:vMerge w:val="restart"/>
            <w:noWrap w:val="0"/>
            <w:vAlign w:val="center"/>
          </w:tcPr>
          <w:p>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w:t>
            </w:r>
            <w:r>
              <w:rPr>
                <w:rFonts w:hint="eastAsia" w:ascii="宋体" w:hAnsi="宋体" w:eastAsia="宋体" w:cs="宋体"/>
                <w:color w:val="auto"/>
                <w:spacing w:val="-1"/>
                <w:sz w:val="24"/>
                <w:szCs w:val="24"/>
                <w:highlight w:val="none"/>
              </w:rPr>
              <w:t>报价</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68" w:firstLineChars="200"/>
              <w:jc w:val="left"/>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3"/>
                <w:sz w:val="24"/>
                <w:szCs w:val="24"/>
                <w:highlight w:val="none"/>
              </w:rPr>
              <w:t>本项目磋商报价必须包含但不限于以下费用</w:t>
            </w:r>
            <w:r>
              <w:rPr>
                <w:rFonts w:hint="eastAsia" w:ascii="宋体" w:hAnsi="宋体" w:eastAsia="宋体" w:cs="宋体"/>
                <w:color w:val="auto"/>
                <w:spacing w:val="-1"/>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500" w:firstLineChars="200"/>
              <w:jc w:val="left"/>
              <w:textAlignment w:val="auto"/>
              <w:rPr>
                <w:rFonts w:hint="eastAsia" w:ascii="宋体" w:hAnsi="宋体" w:eastAsia="宋体" w:cs="宋体"/>
                <w:color w:val="auto"/>
                <w:spacing w:val="-13"/>
                <w:sz w:val="24"/>
                <w:szCs w:val="24"/>
                <w:highlight w:val="none"/>
              </w:rPr>
            </w:pPr>
            <w:r>
              <w:rPr>
                <w:rFonts w:hint="eastAsia" w:ascii="宋体" w:hAnsi="宋体" w:eastAsia="宋体" w:cs="宋体"/>
                <w:color w:val="auto"/>
                <w:spacing w:val="5"/>
                <w:sz w:val="24"/>
                <w:szCs w:val="24"/>
                <w:highlight w:val="none"/>
              </w:rPr>
              <w:t>1.完成采购人指定服务内容的基本费用(包含</w:t>
            </w:r>
            <w:bookmarkStart w:id="42" w:name="OLE_LINK104"/>
            <w:bookmarkStart w:id="43" w:name="OLE_LINK105"/>
            <w:r>
              <w:rPr>
                <w:rFonts w:hint="eastAsia" w:ascii="宋体" w:hAnsi="宋体" w:eastAsia="宋体" w:cs="宋体"/>
                <w:color w:val="auto"/>
                <w:spacing w:val="5"/>
                <w:sz w:val="24"/>
                <w:szCs w:val="24"/>
                <w:highlight w:val="none"/>
              </w:rPr>
              <w:t>完成平台系统底座、供需信息大厅、政策查询模块、活动报名管理、客户管理（CRM）系统、外贸综合服务平台接入、企业出海服务包服务及基础技术维护功能的开发与部署；方案充分理解中国—东盟经贸中心业务模块及平台建设总体述求；满足一期建设需求清单，并预留接口外链后期服务，各板块设置内容符合中国—东盟经贸中心业务逻辑诉求；版面设计美观便捷实用</w:t>
            </w:r>
            <w:r>
              <w:rPr>
                <w:rFonts w:hint="eastAsia" w:ascii="宋体" w:hAnsi="宋体" w:cs="宋体"/>
                <w:color w:val="auto"/>
                <w:spacing w:val="5"/>
                <w:sz w:val="24"/>
                <w:szCs w:val="24"/>
                <w:highlight w:val="none"/>
                <w:lang w:val="en-US" w:eastAsia="zh-CN"/>
              </w:rPr>
              <w:t>等</w:t>
            </w:r>
            <w:r>
              <w:rPr>
                <w:rFonts w:hint="eastAsia" w:ascii="宋体" w:hAnsi="宋体" w:eastAsia="宋体" w:cs="宋体"/>
                <w:color w:val="auto"/>
                <w:spacing w:val="-13"/>
                <w:sz w:val="24"/>
                <w:szCs w:val="24"/>
                <w:highlight w:val="none"/>
              </w:rPr>
              <w:t>)；</w:t>
            </w:r>
            <w:bookmarkEnd w:id="42"/>
            <w:bookmarkEnd w:id="4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2563" w:type="dxa"/>
            <w:gridSpan w:val="3"/>
            <w:vMerge w:val="continue"/>
            <w:noWrap w:val="0"/>
            <w:vAlign w:val="center"/>
          </w:tcPr>
          <w:p>
            <w:pPr>
              <w:spacing w:line="240" w:lineRule="auto"/>
              <w:jc w:val="center"/>
              <w:rPr>
                <w:rFonts w:hint="eastAsia" w:ascii="宋体" w:hAnsi="宋体" w:eastAsia="宋体" w:cs="宋体"/>
                <w:color w:val="auto"/>
                <w:sz w:val="24"/>
                <w:szCs w:val="24"/>
                <w:highlight w:val="none"/>
              </w:rPr>
            </w:pPr>
            <w:bookmarkStart w:id="44" w:name="_Hlk177805895"/>
            <w:bookmarkStart w:id="45" w:name="OLE_LINK111" w:colFirst="0" w:colLast="65"/>
            <w:bookmarkStart w:id="46" w:name="OLE_LINK112" w:colFirst="0" w:colLast="65"/>
            <w:bookmarkStart w:id="47" w:name="OLE_LINK115" w:colFirst="0" w:colLast="65"/>
            <w:bookmarkStart w:id="48" w:name="OLE_LINK116" w:colFirst="0" w:colLast="65"/>
          </w:p>
        </w:tc>
        <w:tc>
          <w:tcPr>
            <w:tcW w:w="7232" w:type="dxa"/>
            <w:gridSpan w:val="2"/>
            <w:noWrap w:val="0"/>
            <w:vAlign w:val="center"/>
          </w:tcPr>
          <w:p>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
                <w:sz w:val="24"/>
                <w:szCs w:val="24"/>
                <w:highlight w:val="none"/>
              </w:rPr>
              <w:t>其他费用(包括但不限于知识产权、技术支持、售后服务等费用)，必要</w:t>
            </w:r>
            <w:r>
              <w:rPr>
                <w:rFonts w:hint="eastAsia" w:ascii="宋体" w:hAnsi="宋体" w:eastAsia="宋体" w:cs="宋体"/>
                <w:color w:val="auto"/>
                <w:spacing w:val="-2"/>
                <w:sz w:val="24"/>
                <w:szCs w:val="24"/>
                <w:highlight w:val="none"/>
              </w:rPr>
              <w:t>的保险费用和各项税费等一切完成本项目服务所需要的费用。</w:t>
            </w:r>
          </w:p>
          <w:p>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注</w:t>
            </w:r>
            <w:r>
              <w:rPr>
                <w:rFonts w:hint="eastAsia" w:ascii="宋体" w:hAnsi="宋体" w:eastAsia="宋体" w:cs="宋体"/>
                <w:color w:val="auto"/>
                <w:spacing w:val="-4"/>
                <w:sz w:val="24"/>
                <w:szCs w:val="24"/>
                <w:highlight w:val="none"/>
              </w:rPr>
              <w:t>： 以上，磋商竞标人应充分考虑项目实施期间的各类风险系数进行报价，否</w:t>
            </w:r>
            <w:r>
              <w:rPr>
                <w:rFonts w:hint="eastAsia" w:ascii="宋体" w:hAnsi="宋体" w:eastAsia="宋体" w:cs="宋体"/>
                <w:color w:val="auto"/>
                <w:spacing w:val="-2"/>
                <w:sz w:val="24"/>
                <w:szCs w:val="24"/>
                <w:highlight w:val="none"/>
              </w:rPr>
              <w:t>则</w:t>
            </w:r>
            <w:r>
              <w:rPr>
                <w:rFonts w:hint="eastAsia" w:ascii="宋体" w:hAnsi="宋体" w:eastAsia="宋体" w:cs="宋体"/>
                <w:color w:val="auto"/>
                <w:spacing w:val="-1"/>
                <w:sz w:val="24"/>
                <w:szCs w:val="24"/>
                <w:highlight w:val="none"/>
              </w:rPr>
              <w:t>，采购人将不予支付竞标人没有列入的项目费用，并认为此项目的费用已</w:t>
            </w:r>
            <w:r>
              <w:rPr>
                <w:rFonts w:hint="eastAsia" w:ascii="宋体" w:hAnsi="宋体" w:eastAsia="宋体" w:cs="宋体"/>
                <w:color w:val="auto"/>
                <w:spacing w:val="-17"/>
                <w:sz w:val="24"/>
                <w:szCs w:val="24"/>
                <w:highlight w:val="none"/>
              </w:rPr>
              <w:t>包</w:t>
            </w:r>
            <w:r>
              <w:rPr>
                <w:rFonts w:hint="eastAsia" w:ascii="宋体" w:hAnsi="宋体" w:eastAsia="宋体" w:cs="宋体"/>
                <w:color w:val="auto"/>
                <w:spacing w:val="-13"/>
                <w:sz w:val="24"/>
                <w:szCs w:val="24"/>
                <w:highlight w:val="none"/>
              </w:rPr>
              <w:t>括在总报价中。)</w:t>
            </w:r>
          </w:p>
          <w:p>
            <w:pPr>
              <w:keepNext w:val="0"/>
              <w:keepLines w:val="0"/>
              <w:pageBreakBefore w:val="0"/>
              <w:widowControl w:val="0"/>
              <w:tabs>
                <w:tab w:val="left" w:pos="222"/>
              </w:tabs>
              <w:kinsoku/>
              <w:wordWrap/>
              <w:overflowPunct/>
              <w:topLinePunct w:val="0"/>
              <w:autoSpaceDE/>
              <w:autoSpaceDN/>
              <w:bidi w:val="0"/>
              <w:adjustRightInd/>
              <w:snapToGrid/>
              <w:spacing w:line="24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3.为了确保采购质量和维护公平的竞争，确保竞标人正常履行合同</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2"/>
                <w:sz w:val="24"/>
                <w:szCs w:val="24"/>
                <w:highlight w:val="none"/>
              </w:rPr>
              <w:t>采购人不接受竞标人的恶意低价竞争。磋商小组认为磋商竞标人的报价明显</w:t>
            </w:r>
            <w:r>
              <w:rPr>
                <w:rFonts w:hint="eastAsia" w:ascii="宋体" w:hAnsi="宋体" w:eastAsia="宋体" w:cs="宋体"/>
                <w:color w:val="auto"/>
                <w:spacing w:val="-7"/>
                <w:sz w:val="24"/>
                <w:szCs w:val="24"/>
                <w:highlight w:val="none"/>
              </w:rPr>
              <w:t>低于其他通过资格、符合性审查磋商竞标人的报价，有可能影响服务成果质量或</w:t>
            </w:r>
            <w:r>
              <w:rPr>
                <w:rFonts w:hint="eastAsia" w:ascii="宋体" w:hAnsi="宋体" w:eastAsia="宋体" w:cs="宋体"/>
                <w:color w:val="auto"/>
                <w:spacing w:val="-2"/>
                <w:sz w:val="24"/>
                <w:szCs w:val="24"/>
                <w:highlight w:val="none"/>
              </w:rPr>
              <w:t>者</w:t>
            </w:r>
            <w:r>
              <w:rPr>
                <w:rFonts w:hint="eastAsia" w:ascii="宋体" w:hAnsi="宋体" w:eastAsia="宋体" w:cs="宋体"/>
                <w:color w:val="auto"/>
                <w:spacing w:val="-18"/>
                <w:sz w:val="24"/>
                <w:szCs w:val="24"/>
                <w:highlight w:val="none"/>
              </w:rPr>
              <w:t>不能</w:t>
            </w:r>
            <w:r>
              <w:rPr>
                <w:rFonts w:hint="eastAsia" w:ascii="宋体" w:hAnsi="宋体" w:eastAsia="宋体" w:cs="宋体"/>
                <w:color w:val="auto"/>
                <w:spacing w:val="-12"/>
                <w:sz w:val="24"/>
                <w:szCs w:val="24"/>
                <w:highlight w:val="none"/>
              </w:rPr>
              <w:t>诚</w:t>
            </w:r>
            <w:r>
              <w:rPr>
                <w:rFonts w:hint="eastAsia" w:ascii="宋体" w:hAnsi="宋体" w:eastAsia="宋体" w:cs="宋体"/>
                <w:color w:val="auto"/>
                <w:spacing w:val="-9"/>
                <w:sz w:val="24"/>
                <w:szCs w:val="24"/>
                <w:highlight w:val="none"/>
              </w:rPr>
              <w:t>信履约的，应当要求其在磋商现场合理的时间内提供书面说明，必要时</w:t>
            </w:r>
            <w:r>
              <w:rPr>
                <w:rFonts w:hint="eastAsia" w:ascii="宋体" w:hAnsi="宋体" w:eastAsia="宋体" w:cs="宋体"/>
                <w:color w:val="auto"/>
                <w:spacing w:val="-7"/>
                <w:sz w:val="24"/>
                <w:szCs w:val="24"/>
                <w:highlight w:val="none"/>
              </w:rPr>
              <w:t>提交相关证明材料，包括但不限于为完成项目的人员数量及其工作时间、项</w:t>
            </w:r>
            <w:r>
              <w:rPr>
                <w:rFonts w:hint="eastAsia" w:ascii="宋体" w:hAnsi="宋体" w:eastAsia="宋体" w:cs="宋体"/>
                <w:color w:val="auto"/>
                <w:spacing w:val="-2"/>
                <w:sz w:val="24"/>
                <w:szCs w:val="24"/>
                <w:highlight w:val="none"/>
              </w:rPr>
              <w:t>目</w:t>
            </w:r>
            <w:r>
              <w:rPr>
                <w:rFonts w:hint="eastAsia" w:ascii="宋体" w:hAnsi="宋体" w:eastAsia="宋体" w:cs="宋体"/>
                <w:color w:val="auto"/>
                <w:spacing w:val="4"/>
                <w:sz w:val="24"/>
                <w:szCs w:val="24"/>
                <w:highlight w:val="none"/>
              </w:rPr>
              <w:t>人员的</w:t>
            </w:r>
            <w:r>
              <w:rPr>
                <w:rFonts w:hint="eastAsia" w:ascii="宋体" w:hAnsi="宋体" w:eastAsia="宋体" w:cs="宋体"/>
                <w:color w:val="auto"/>
                <w:spacing w:val="2"/>
                <w:sz w:val="24"/>
                <w:szCs w:val="24"/>
                <w:highlight w:val="none"/>
              </w:rPr>
              <w:t>工资支出以及项目实施过程中可能涉及的其他费用等，磋商竞标人不能证</w:t>
            </w:r>
            <w:r>
              <w:rPr>
                <w:rFonts w:hint="eastAsia" w:ascii="宋体" w:hAnsi="宋体" w:eastAsia="宋体" w:cs="宋体"/>
                <w:color w:val="auto"/>
                <w:spacing w:val="-4"/>
                <w:sz w:val="24"/>
                <w:szCs w:val="24"/>
                <w:highlight w:val="none"/>
              </w:rPr>
              <w:t>明其</w:t>
            </w:r>
            <w:r>
              <w:rPr>
                <w:rFonts w:hint="eastAsia" w:ascii="宋体" w:hAnsi="宋体" w:eastAsia="宋体" w:cs="宋体"/>
                <w:color w:val="auto"/>
                <w:spacing w:val="-3"/>
                <w:sz w:val="24"/>
                <w:szCs w:val="24"/>
                <w:highlight w:val="none"/>
              </w:rPr>
              <w:t>报</w:t>
            </w:r>
            <w:r>
              <w:rPr>
                <w:rFonts w:hint="eastAsia" w:ascii="宋体" w:hAnsi="宋体" w:eastAsia="宋体" w:cs="宋体"/>
                <w:color w:val="auto"/>
                <w:spacing w:val="-2"/>
                <w:sz w:val="24"/>
                <w:szCs w:val="24"/>
                <w:highlight w:val="none"/>
              </w:rPr>
              <w:t>价合理性的，磋商小组应当将其作为无效投标处理。</w:t>
            </w:r>
          </w:p>
        </w:tc>
      </w:tr>
      <w:bookmarkEnd w:id="44"/>
      <w:bookmarkEnd w:id="45"/>
      <w:bookmarkEnd w:id="46"/>
      <w:bookmarkEnd w:id="47"/>
      <w:bookmarkEnd w:id="48"/>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2563" w:type="dxa"/>
            <w:gridSpan w:val="3"/>
            <w:noWrap w:val="0"/>
            <w:vAlign w:val="center"/>
          </w:tcPr>
          <w:p>
            <w:pPr>
              <w:spacing w:before="167"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合同履行期限</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pacing w:val="-8"/>
                <w:sz w:val="24"/>
                <w:szCs w:val="24"/>
                <w:highlight w:val="none"/>
                <w:lang w:val="en-US" w:eastAsia="zh-CN"/>
              </w:rPr>
              <w:t>自</w:t>
            </w:r>
            <w:r>
              <w:rPr>
                <w:rFonts w:hint="eastAsia" w:ascii="宋体" w:hAnsi="宋体" w:eastAsia="宋体" w:cs="宋体"/>
                <w:color w:val="auto"/>
                <w:spacing w:val="-8"/>
                <w:sz w:val="24"/>
                <w:szCs w:val="24"/>
                <w:highlight w:val="none"/>
              </w:rPr>
              <w:t>签订</w:t>
            </w:r>
            <w:r>
              <w:rPr>
                <w:rFonts w:hint="eastAsia" w:ascii="宋体" w:hAnsi="宋体" w:eastAsia="宋体" w:cs="宋体"/>
                <w:color w:val="auto"/>
                <w:spacing w:val="-6"/>
                <w:sz w:val="24"/>
                <w:szCs w:val="24"/>
                <w:highlight w:val="none"/>
              </w:rPr>
              <w:t>合</w:t>
            </w:r>
            <w:r>
              <w:rPr>
                <w:rFonts w:hint="eastAsia" w:ascii="宋体" w:hAnsi="宋体" w:eastAsia="宋体" w:cs="宋体"/>
                <w:color w:val="auto"/>
                <w:spacing w:val="-4"/>
                <w:sz w:val="24"/>
                <w:szCs w:val="24"/>
                <w:highlight w:val="none"/>
              </w:rPr>
              <w:t>同之日起</w:t>
            </w:r>
            <w:r>
              <w:rPr>
                <w:rFonts w:hint="eastAsia" w:ascii="宋体" w:hAnsi="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至</w:t>
            </w:r>
            <w:r>
              <w:rPr>
                <w:rFonts w:hint="eastAsia" w:ascii="宋体" w:hAnsi="宋体" w:cs="宋体"/>
                <w:color w:val="auto"/>
                <w:sz w:val="24"/>
                <w:szCs w:val="24"/>
                <w:highlight w:val="none"/>
                <w:lang w:val="en-US" w:eastAsia="zh-CN"/>
              </w:rPr>
              <w:t>2026年12月31日</w:t>
            </w:r>
            <w:r>
              <w:rPr>
                <w:rFonts w:hint="eastAsia" w:ascii="宋体" w:hAnsi="宋体" w:eastAsia="宋体" w:cs="宋体"/>
                <w:color w:val="auto"/>
                <w:sz w:val="24"/>
                <w:szCs w:val="24"/>
                <w:highlight w:val="none"/>
              </w:rPr>
              <w:t>结束</w:t>
            </w:r>
            <w:r>
              <w:rPr>
                <w:rFonts w:hint="eastAsia" w:ascii="宋体" w:hAnsi="宋体" w:eastAsia="宋体" w:cs="宋体"/>
                <w:color w:val="auto"/>
                <w:spacing w:val="-4"/>
                <w:sz w:val="24"/>
                <w:szCs w:val="2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2563" w:type="dxa"/>
            <w:gridSpan w:val="3"/>
            <w:noWrap w:val="0"/>
            <w:vAlign w:val="center"/>
          </w:tcPr>
          <w:p>
            <w:pPr>
              <w:spacing w:before="167" w:line="24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合同签订期</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default" w:ascii="宋体" w:hAnsi="宋体" w:eastAsia="宋体" w:cs="宋体"/>
                <w:color w:val="auto"/>
                <w:spacing w:val="-2"/>
                <w:sz w:val="24"/>
                <w:szCs w:val="24"/>
                <w:highlight w:val="none"/>
                <w:lang w:val="en-US"/>
              </w:rPr>
            </w:pPr>
            <w:r>
              <w:rPr>
                <w:rFonts w:hint="eastAsia" w:ascii="宋体" w:hAnsi="宋体" w:cs="宋体"/>
                <w:color w:val="auto"/>
                <w:spacing w:val="-2"/>
                <w:sz w:val="24"/>
                <w:szCs w:val="24"/>
                <w:highlight w:val="none"/>
                <w:lang w:val="en-US" w:eastAsia="zh-CN"/>
              </w:rPr>
              <w:t>自成交通知书发出之日起5个日历日内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563" w:type="dxa"/>
            <w:gridSpan w:val="3"/>
            <w:noWrap w:val="0"/>
            <w:vAlign w:val="center"/>
          </w:tcPr>
          <w:p>
            <w:pPr>
              <w:spacing w:before="28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质量要</w:t>
            </w:r>
            <w:r>
              <w:rPr>
                <w:rFonts w:hint="eastAsia" w:ascii="宋体" w:hAnsi="宋体" w:eastAsia="宋体" w:cs="宋体"/>
                <w:color w:val="auto"/>
                <w:spacing w:val="-1"/>
                <w:sz w:val="24"/>
                <w:szCs w:val="24"/>
                <w:highlight w:val="none"/>
              </w:rPr>
              <w:t>求</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4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涉</w:t>
            </w:r>
            <w:r>
              <w:rPr>
                <w:rFonts w:hint="eastAsia" w:ascii="宋体" w:hAnsi="宋体" w:eastAsia="宋体" w:cs="宋体"/>
                <w:color w:val="auto"/>
                <w:spacing w:val="-7"/>
                <w:sz w:val="24"/>
                <w:szCs w:val="24"/>
                <w:highlight w:val="none"/>
              </w:rPr>
              <w:t>及国家、行业及地方标准或者其他标准、规范的， 应执行相应的标准、规</w:t>
            </w:r>
            <w:r>
              <w:rPr>
                <w:rFonts w:hint="eastAsia" w:ascii="宋体" w:hAnsi="宋体" w:eastAsia="宋体" w:cs="宋体"/>
                <w:color w:val="auto"/>
                <w:spacing w:val="-2"/>
                <w:sz w:val="24"/>
                <w:szCs w:val="24"/>
                <w:highlight w:val="none"/>
              </w:rPr>
              <w:t>范；无标准、规范的须通过采购单位审核验收。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2563" w:type="dxa"/>
            <w:gridSpan w:val="3"/>
            <w:noWrap w:val="0"/>
            <w:vAlign w:val="center"/>
          </w:tcPr>
          <w:p>
            <w:pPr>
              <w:spacing w:before="16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交货时间</w:t>
            </w:r>
            <w:r>
              <w:rPr>
                <w:rFonts w:hint="eastAsia" w:ascii="宋体" w:hAnsi="宋体" w:eastAsia="宋体" w:cs="宋体"/>
                <w:color w:val="auto"/>
                <w:spacing w:val="-1"/>
                <w:sz w:val="24"/>
                <w:szCs w:val="24"/>
                <w:highlight w:val="none"/>
              </w:rPr>
              <w:t>和地点</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采</w:t>
            </w:r>
            <w:r>
              <w:rPr>
                <w:rFonts w:hint="eastAsia" w:ascii="宋体" w:hAnsi="宋体" w:eastAsia="宋体" w:cs="宋体"/>
                <w:color w:val="auto"/>
                <w:spacing w:val="-5"/>
                <w:sz w:val="24"/>
                <w:szCs w:val="24"/>
                <w:highlight w:val="none"/>
              </w:rPr>
              <w:t>购人指定。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2563" w:type="dxa"/>
            <w:gridSpan w:val="3"/>
            <w:noWrap w:val="0"/>
            <w:vAlign w:val="center"/>
          </w:tcPr>
          <w:p>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支付方式</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6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付款方式以合同最终签订版本为准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5" w:hRule="atLeast"/>
          <w:jc w:val="center"/>
        </w:trPr>
        <w:tc>
          <w:tcPr>
            <w:tcW w:w="2563" w:type="dxa"/>
            <w:gridSpan w:val="3"/>
            <w:noWrap w:val="0"/>
            <w:vAlign w:val="center"/>
          </w:tcPr>
          <w:p>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验收的相关注意事</w:t>
            </w:r>
            <w:r>
              <w:rPr>
                <w:rFonts w:hint="eastAsia" w:ascii="宋体" w:hAnsi="宋体" w:eastAsia="宋体" w:cs="宋体"/>
                <w:color w:val="auto"/>
                <w:sz w:val="24"/>
                <w:szCs w:val="24"/>
                <w:highlight w:val="none"/>
              </w:rPr>
              <w:t>项</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48"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1.成交竞标人</w:t>
            </w:r>
            <w:r>
              <w:rPr>
                <w:rFonts w:hint="eastAsia" w:ascii="宋体" w:hAnsi="宋体" w:eastAsia="宋体" w:cs="宋体"/>
                <w:color w:val="auto"/>
                <w:spacing w:val="-4"/>
                <w:sz w:val="24"/>
                <w:szCs w:val="24"/>
                <w:highlight w:val="none"/>
              </w:rPr>
              <w:t>应按采购文件规定的服务内容、技术要求、质量标准向采购人提供</w:t>
            </w:r>
            <w:r>
              <w:rPr>
                <w:rFonts w:hint="eastAsia" w:ascii="宋体" w:hAnsi="宋体" w:eastAsia="宋体" w:cs="宋体"/>
                <w:color w:val="auto"/>
                <w:spacing w:val="-2"/>
                <w:sz w:val="24"/>
                <w:szCs w:val="24"/>
                <w:highlight w:val="none"/>
                <w:lang w:val="en-US" w:eastAsia="zh-CN"/>
              </w:rPr>
              <w:t>全部</w:t>
            </w:r>
            <w:r>
              <w:rPr>
                <w:rFonts w:hint="eastAsia" w:ascii="宋体" w:hAnsi="宋体" w:eastAsia="宋体" w:cs="宋体"/>
                <w:color w:val="auto"/>
                <w:spacing w:val="-2"/>
                <w:sz w:val="24"/>
                <w:szCs w:val="24"/>
                <w:highlight w:val="none"/>
              </w:rPr>
              <w:t>服务成果；成交人</w:t>
            </w:r>
            <w:r>
              <w:rPr>
                <w:rFonts w:hint="eastAsia" w:ascii="宋体" w:hAnsi="宋体" w:eastAsia="宋体" w:cs="宋体"/>
                <w:color w:val="auto"/>
                <w:spacing w:val="-1"/>
                <w:sz w:val="24"/>
                <w:szCs w:val="24"/>
                <w:highlight w:val="none"/>
              </w:rPr>
              <w:t>对提交的最终服务成果质量负责。</w:t>
            </w:r>
          </w:p>
          <w:p>
            <w:pPr>
              <w:keepNext w:val="0"/>
              <w:keepLines w:val="0"/>
              <w:pageBreakBefore w:val="0"/>
              <w:widowControl w:val="0"/>
              <w:kinsoku/>
              <w:wordWrap/>
              <w:overflowPunct/>
              <w:topLinePunct w:val="0"/>
              <w:autoSpaceDE/>
              <w:autoSpaceDN/>
              <w:bidi w:val="0"/>
              <w:adjustRightInd/>
              <w:snapToGrid/>
              <w:spacing w:line="240" w:lineRule="auto"/>
              <w:ind w:left="0" w:right="0" w:firstLine="49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2.项</w:t>
            </w:r>
            <w:r>
              <w:rPr>
                <w:rFonts w:hint="eastAsia" w:ascii="宋体" w:hAnsi="宋体" w:eastAsia="宋体" w:cs="宋体"/>
                <w:color w:val="auto"/>
                <w:spacing w:val="2"/>
                <w:sz w:val="24"/>
                <w:szCs w:val="24"/>
                <w:highlight w:val="none"/>
              </w:rPr>
              <w:t>目验收时由采购人对照采购文件、成交竞标人的响应文件等相应内容及要</w:t>
            </w:r>
            <w:r>
              <w:rPr>
                <w:rFonts w:hint="eastAsia" w:ascii="宋体" w:hAnsi="宋体" w:eastAsia="宋体" w:cs="宋体"/>
                <w:color w:val="auto"/>
                <w:spacing w:val="4"/>
                <w:sz w:val="24"/>
                <w:szCs w:val="24"/>
                <w:highlight w:val="none"/>
              </w:rPr>
              <w:t>求全面核对</w:t>
            </w:r>
            <w:r>
              <w:rPr>
                <w:rFonts w:hint="eastAsia" w:ascii="宋体" w:hAnsi="宋体" w:eastAsia="宋体" w:cs="宋体"/>
                <w:color w:val="auto"/>
                <w:spacing w:val="2"/>
                <w:sz w:val="24"/>
                <w:szCs w:val="24"/>
                <w:highlight w:val="none"/>
              </w:rPr>
              <w:t>检验，如不符合采购文件的服务内容及要求，或者提供虚假承诺</w:t>
            </w:r>
            <w:r>
              <w:rPr>
                <w:rFonts w:hint="eastAsia" w:ascii="宋体" w:hAnsi="宋体" w:eastAsia="宋体" w:cs="宋体"/>
                <w:color w:val="auto"/>
                <w:spacing w:val="-18"/>
                <w:sz w:val="24"/>
                <w:szCs w:val="24"/>
                <w:highlight w:val="none"/>
              </w:rPr>
              <w:t>的，</w:t>
            </w:r>
            <w:r>
              <w:rPr>
                <w:rFonts w:hint="eastAsia" w:ascii="宋体" w:hAnsi="宋体" w:eastAsia="宋体" w:cs="宋体"/>
                <w:color w:val="auto"/>
                <w:spacing w:val="-10"/>
                <w:sz w:val="24"/>
                <w:szCs w:val="24"/>
                <w:highlight w:val="none"/>
              </w:rPr>
              <w:t>按</w:t>
            </w:r>
            <w:r>
              <w:rPr>
                <w:rFonts w:hint="eastAsia" w:ascii="宋体" w:hAnsi="宋体" w:eastAsia="宋体" w:cs="宋体"/>
                <w:color w:val="auto"/>
                <w:spacing w:val="-9"/>
                <w:sz w:val="24"/>
                <w:szCs w:val="24"/>
                <w:highlight w:val="none"/>
              </w:rPr>
              <w:t>相关规定综止合同及进行违约处理，成交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9"/>
                <w:sz w:val="24"/>
                <w:szCs w:val="24"/>
                <w:highlight w:val="none"/>
              </w:rPr>
              <w:t>承担所有责任和费用，造成</w:t>
            </w:r>
            <w:r>
              <w:rPr>
                <w:rFonts w:hint="eastAsia" w:ascii="宋体" w:hAnsi="宋体" w:eastAsia="宋体" w:cs="宋体"/>
                <w:color w:val="auto"/>
                <w:spacing w:val="-2"/>
                <w:sz w:val="24"/>
                <w:szCs w:val="24"/>
                <w:highlight w:val="none"/>
              </w:rPr>
              <w:t>采购人利益损</w:t>
            </w:r>
            <w:r>
              <w:rPr>
                <w:rFonts w:hint="eastAsia" w:ascii="宋体" w:hAnsi="宋体" w:eastAsia="宋体" w:cs="宋体"/>
                <w:color w:val="auto"/>
                <w:spacing w:val="-1"/>
                <w:sz w:val="24"/>
                <w:szCs w:val="24"/>
                <w:highlight w:val="none"/>
              </w:rPr>
              <w:t>失的还须赔偿，且采购人保留进一步追究责任的权利。</w:t>
            </w:r>
          </w:p>
          <w:p>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
                <w:sz w:val="24"/>
                <w:szCs w:val="24"/>
                <w:highlight w:val="none"/>
              </w:rPr>
              <w:t>成交供应商在投标活动中提供任何虚假材料，其投标无效，并报监管部门查</w:t>
            </w:r>
            <w:r>
              <w:rPr>
                <w:rFonts w:hint="eastAsia" w:ascii="宋体" w:hAnsi="宋体" w:eastAsia="宋体" w:cs="宋体"/>
                <w:color w:val="auto"/>
                <w:spacing w:val="-18"/>
                <w:sz w:val="24"/>
                <w:szCs w:val="24"/>
                <w:highlight w:val="none"/>
              </w:rPr>
              <w:t>处</w:t>
            </w:r>
            <w:r>
              <w:rPr>
                <w:rFonts w:hint="eastAsia" w:ascii="宋体" w:hAnsi="宋体" w:eastAsia="宋体" w:cs="宋体"/>
                <w:color w:val="auto"/>
                <w:spacing w:val="-9"/>
                <w:sz w:val="24"/>
                <w:szCs w:val="24"/>
                <w:highlight w:val="none"/>
              </w:rPr>
              <w:t>；成交后发现的，成交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pacing w:val="-9"/>
                <w:sz w:val="24"/>
                <w:szCs w:val="24"/>
                <w:highlight w:val="none"/>
              </w:rPr>
              <w:t>须</w:t>
            </w:r>
            <w:r>
              <w:rPr>
                <w:rFonts w:hint="eastAsia" w:ascii="宋体" w:hAnsi="宋体" w:eastAsia="宋体" w:cs="宋体"/>
                <w:color w:val="auto"/>
                <w:spacing w:val="2"/>
                <w:sz w:val="24"/>
                <w:szCs w:val="24"/>
                <w:highlight w:val="none"/>
              </w:rPr>
              <w:t>双倍赔偿采购人，且民事赔偿并不免除违法磋商竞标人的行政与刑事责</w:t>
            </w:r>
            <w:r>
              <w:rPr>
                <w:rFonts w:hint="eastAsia" w:ascii="宋体" w:hAnsi="宋体" w:eastAsia="宋体" w:cs="宋体"/>
                <w:color w:val="auto"/>
                <w:spacing w:val="-10"/>
                <w:sz w:val="24"/>
                <w:szCs w:val="24"/>
                <w:highlight w:val="none"/>
              </w:rPr>
              <w:t>任</w:t>
            </w:r>
            <w:r>
              <w:rPr>
                <w:rFonts w:hint="eastAsia" w:ascii="宋体" w:hAnsi="宋体" w:eastAsia="宋体" w:cs="宋体"/>
                <w:color w:val="auto"/>
                <w:spacing w:val="-9"/>
                <w:sz w:val="24"/>
                <w:szCs w:val="24"/>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right="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4"/>
                <w:sz w:val="24"/>
                <w:szCs w:val="24"/>
                <w:highlight w:val="none"/>
              </w:rPr>
              <w:t>由采购人组成验收小组对本项目服务成果进行验收。未通过验收的，成交</w:t>
            </w:r>
            <w:r>
              <w:rPr>
                <w:rFonts w:hint="eastAsia" w:ascii="宋体" w:hAnsi="宋体" w:eastAsia="宋体" w:cs="宋体"/>
                <w:color w:val="auto"/>
                <w:spacing w:val="2"/>
                <w:sz w:val="24"/>
                <w:szCs w:val="24"/>
                <w:highlight w:val="none"/>
              </w:rPr>
              <w:t>竞标人</w:t>
            </w:r>
            <w:r>
              <w:rPr>
                <w:rFonts w:hint="eastAsia" w:ascii="宋体" w:hAnsi="宋体" w:eastAsia="宋体" w:cs="宋体"/>
                <w:color w:val="auto"/>
                <w:spacing w:val="-8"/>
                <w:sz w:val="24"/>
                <w:szCs w:val="24"/>
                <w:highlight w:val="none"/>
              </w:rPr>
              <w:t>必须根据验</w:t>
            </w:r>
            <w:r>
              <w:rPr>
                <w:rFonts w:hint="eastAsia" w:ascii="宋体" w:hAnsi="宋体" w:eastAsia="宋体" w:cs="宋体"/>
                <w:color w:val="auto"/>
                <w:spacing w:val="-7"/>
                <w:sz w:val="24"/>
                <w:szCs w:val="24"/>
                <w:highlight w:val="none"/>
              </w:rPr>
              <w:t>收</w:t>
            </w:r>
            <w:r>
              <w:rPr>
                <w:rFonts w:hint="eastAsia" w:ascii="宋体" w:hAnsi="宋体" w:eastAsia="宋体" w:cs="宋体"/>
                <w:color w:val="auto"/>
                <w:spacing w:val="-4"/>
                <w:sz w:val="24"/>
                <w:szCs w:val="24"/>
                <w:highlight w:val="none"/>
              </w:rPr>
              <w:t>小组的意见和建议，在规定的时间内进行修改、补充和完善。</w:t>
            </w:r>
            <w:r>
              <w:rPr>
                <w:rFonts w:hint="eastAsia" w:ascii="宋体" w:hAnsi="宋体" w:eastAsia="宋体" w:cs="宋体"/>
                <w:color w:val="auto"/>
                <w:spacing w:val="-1"/>
                <w:sz w:val="24"/>
                <w:szCs w:val="24"/>
                <w:highlight w:val="none"/>
              </w:rPr>
              <w:t>成交人无正当理由拒不</w:t>
            </w:r>
            <w:r>
              <w:rPr>
                <w:rFonts w:hint="eastAsia" w:ascii="宋体" w:hAnsi="宋体" w:eastAsia="宋体" w:cs="宋体"/>
                <w:color w:val="auto"/>
                <w:sz w:val="24"/>
                <w:szCs w:val="24"/>
                <w:highlight w:val="none"/>
              </w:rPr>
              <w:t>改正的，视为违约，并按相关约定处理。</w:t>
            </w:r>
          </w:p>
          <w:p>
            <w:pPr>
              <w:keepNext w:val="0"/>
              <w:keepLines w:val="0"/>
              <w:pageBreakBefore w:val="0"/>
              <w:widowControl w:val="0"/>
              <w:kinsoku/>
              <w:wordWrap/>
              <w:overflowPunct/>
              <w:topLinePunct w:val="0"/>
              <w:autoSpaceDE/>
              <w:autoSpaceDN/>
              <w:bidi w:val="0"/>
              <w:adjustRightInd/>
              <w:snapToGrid/>
              <w:spacing w:line="240" w:lineRule="auto"/>
              <w:ind w:left="0" w:right="0" w:firstLine="476"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5</w:t>
            </w:r>
            <w:r>
              <w:rPr>
                <w:rFonts w:hint="eastAsia" w:ascii="宋体" w:hAnsi="宋体" w:eastAsia="宋体" w:cs="宋体"/>
                <w:color w:val="auto"/>
                <w:spacing w:val="-1"/>
                <w:sz w:val="24"/>
                <w:szCs w:val="24"/>
                <w:highlight w:val="none"/>
              </w:rPr>
              <w:t>.验收过程中，如产</w:t>
            </w:r>
            <w:r>
              <w:rPr>
                <w:rFonts w:hint="eastAsia" w:ascii="宋体" w:hAnsi="宋体" w:eastAsia="宋体" w:cs="宋体"/>
                <w:color w:val="auto"/>
                <w:sz w:val="24"/>
                <w:szCs w:val="24"/>
                <w:highlight w:val="none"/>
              </w:rPr>
              <w:t>生费用由成交</w:t>
            </w:r>
            <w:r>
              <w:rPr>
                <w:rFonts w:hint="eastAsia" w:ascii="宋体" w:hAnsi="宋体" w:eastAsia="宋体" w:cs="宋体"/>
                <w:color w:val="auto"/>
                <w:spacing w:val="2"/>
                <w:sz w:val="24"/>
                <w:szCs w:val="24"/>
                <w:highlight w:val="none"/>
              </w:rPr>
              <w:t>供应商</w:t>
            </w:r>
            <w:r>
              <w:rPr>
                <w:rFonts w:hint="eastAsia" w:ascii="宋体" w:hAnsi="宋体" w:eastAsia="宋体" w:cs="宋体"/>
                <w:color w:val="auto"/>
                <w:sz w:val="24"/>
                <w:szCs w:val="24"/>
                <w:highlight w:val="none"/>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jc w:val="center"/>
        </w:trPr>
        <w:tc>
          <w:tcPr>
            <w:tcW w:w="2563" w:type="dxa"/>
            <w:gridSpan w:val="3"/>
            <w:noWrap w:val="0"/>
            <w:vAlign w:val="center"/>
          </w:tcPr>
          <w:p>
            <w:pPr>
              <w:spacing w:before="68"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其他说</w:t>
            </w:r>
            <w:r>
              <w:rPr>
                <w:rFonts w:hint="eastAsia" w:ascii="宋体" w:hAnsi="宋体" w:eastAsia="宋体" w:cs="宋体"/>
                <w:color w:val="auto"/>
                <w:spacing w:val="-1"/>
                <w:sz w:val="24"/>
                <w:szCs w:val="24"/>
                <w:highlight w:val="none"/>
              </w:rPr>
              <w:t>明</w:t>
            </w:r>
          </w:p>
        </w:tc>
        <w:tc>
          <w:tcPr>
            <w:tcW w:w="723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1.保密</w:t>
            </w:r>
            <w:r>
              <w:rPr>
                <w:rFonts w:hint="eastAsia" w:ascii="宋体" w:hAnsi="宋体" w:eastAsia="宋体" w:cs="宋体"/>
                <w:color w:val="auto"/>
                <w:spacing w:val="-1"/>
                <w:sz w:val="24"/>
                <w:szCs w:val="24"/>
                <w:highlight w:val="none"/>
              </w:rPr>
              <w:t>要求</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11"/>
                <w:sz w:val="24"/>
                <w:szCs w:val="24"/>
                <w:highlight w:val="none"/>
              </w:rPr>
              <w:t>成</w:t>
            </w:r>
            <w:r>
              <w:rPr>
                <w:rFonts w:hint="eastAsia" w:ascii="宋体" w:hAnsi="宋体" w:eastAsia="宋体" w:cs="宋体"/>
                <w:color w:val="auto"/>
                <w:spacing w:val="-7"/>
                <w:sz w:val="24"/>
                <w:szCs w:val="24"/>
                <w:highlight w:val="none"/>
              </w:rPr>
              <w:t>交竞标人对项目数据采集、数据成果文件的内容涉及保密要求的， 应进行严格</w:t>
            </w:r>
            <w:r>
              <w:rPr>
                <w:rFonts w:hint="eastAsia" w:ascii="宋体" w:hAnsi="宋体" w:eastAsia="宋体" w:cs="宋体"/>
                <w:color w:val="auto"/>
                <w:spacing w:val="-2"/>
                <w:sz w:val="24"/>
                <w:szCs w:val="24"/>
                <w:highlight w:val="none"/>
              </w:rPr>
              <w:t>保密，如有泄</w:t>
            </w:r>
            <w:r>
              <w:rPr>
                <w:rFonts w:hint="eastAsia" w:ascii="宋体" w:hAnsi="宋体" w:eastAsia="宋体" w:cs="宋体"/>
                <w:color w:val="auto"/>
                <w:spacing w:val="-1"/>
                <w:sz w:val="24"/>
                <w:szCs w:val="24"/>
                <w:highlight w:val="none"/>
              </w:rPr>
              <w:t>露，采购人有权追究法律责任，并要求成交</w:t>
            </w:r>
            <w:r>
              <w:rPr>
                <w:rFonts w:hint="eastAsia" w:ascii="宋体" w:hAnsi="宋体" w:eastAsia="宋体" w:cs="宋体"/>
                <w:color w:val="auto"/>
                <w:spacing w:val="2"/>
                <w:sz w:val="24"/>
                <w:szCs w:val="24"/>
                <w:highlight w:val="none"/>
              </w:rPr>
              <w:t>竞标人</w:t>
            </w:r>
            <w:r>
              <w:rPr>
                <w:rFonts w:hint="eastAsia" w:ascii="宋体" w:hAnsi="宋体" w:eastAsia="宋体" w:cs="宋体"/>
                <w:color w:val="auto"/>
                <w:spacing w:val="-1"/>
                <w:sz w:val="24"/>
                <w:szCs w:val="24"/>
                <w:highlight w:val="none"/>
              </w:rPr>
              <w:t>承担经济损失。</w:t>
            </w:r>
          </w:p>
          <w:p>
            <w:pPr>
              <w:keepNext w:val="0"/>
              <w:keepLines w:val="0"/>
              <w:pageBreakBefore w:val="0"/>
              <w:widowControl w:val="0"/>
              <w:kinsoku/>
              <w:wordWrap/>
              <w:overflowPunct/>
              <w:topLinePunct w:val="0"/>
              <w:autoSpaceDE/>
              <w:autoSpaceDN/>
              <w:bidi w:val="0"/>
              <w:adjustRightInd/>
              <w:snapToGrid/>
              <w:spacing w:line="240" w:lineRule="auto"/>
              <w:ind w:left="0" w:right="0" w:firstLine="47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
                <w:sz w:val="24"/>
                <w:szCs w:val="24"/>
                <w:highlight w:val="none"/>
              </w:rPr>
              <w:t>分包</w:t>
            </w:r>
            <w:r>
              <w:rPr>
                <w:rFonts w:hint="eastAsia" w:ascii="宋体" w:hAnsi="宋体" w:cs="宋体"/>
                <w:color w:val="auto"/>
                <w:spacing w:val="-1"/>
                <w:sz w:val="24"/>
                <w:szCs w:val="24"/>
                <w:highlight w:val="none"/>
                <w:lang w:eastAsia="zh-CN"/>
              </w:rPr>
              <w:t>：</w:t>
            </w:r>
            <w:r>
              <w:rPr>
                <w:rFonts w:hint="eastAsia" w:ascii="宋体" w:hAnsi="宋体" w:eastAsia="宋体" w:cs="宋体"/>
                <w:color w:val="auto"/>
                <w:spacing w:val="-4"/>
                <w:sz w:val="24"/>
                <w:szCs w:val="24"/>
                <w:highlight w:val="none"/>
              </w:rPr>
              <w:t>本项目不允许分包。</w:t>
            </w:r>
          </w:p>
        </w:tc>
      </w:tr>
    </w:tbl>
    <w:p>
      <w:pPr>
        <w:tabs>
          <w:tab w:val="left" w:pos="180"/>
          <w:tab w:val="left" w:pos="1620"/>
        </w:tabs>
        <w:spacing w:line="400" w:lineRule="exact"/>
        <w:rPr>
          <w:b/>
          <w:bCs/>
          <w:color w:val="auto"/>
          <w:sz w:val="32"/>
          <w:szCs w:val="32"/>
          <w:highlight w:val="none"/>
        </w:rPr>
      </w:pPr>
    </w:p>
    <w:p>
      <w:pPr>
        <w:jc w:val="left"/>
        <w:outlineLvl w:val="9"/>
        <w:rPr>
          <w:b/>
          <w:bCs/>
          <w:color w:val="auto"/>
          <w:sz w:val="44"/>
          <w:szCs w:val="44"/>
          <w:highlight w:val="none"/>
        </w:rPr>
      </w:pPr>
      <w:r>
        <w:rPr>
          <w:b/>
          <w:bCs/>
          <w:color w:val="auto"/>
          <w:sz w:val="44"/>
          <w:szCs w:val="44"/>
          <w:highlight w:val="none"/>
        </w:rPr>
        <w:br w:type="page"/>
      </w:r>
    </w:p>
    <w:p>
      <w:pPr>
        <w:jc w:val="center"/>
        <w:outlineLvl w:val="0"/>
        <w:rPr>
          <w:b/>
          <w:bCs/>
          <w:color w:val="auto"/>
          <w:sz w:val="44"/>
          <w:szCs w:val="44"/>
          <w:highlight w:val="none"/>
        </w:rPr>
      </w:pPr>
      <w:r>
        <w:rPr>
          <w:b/>
          <w:bCs/>
          <w:color w:val="auto"/>
          <w:sz w:val="44"/>
          <w:szCs w:val="44"/>
          <w:highlight w:val="none"/>
        </w:rPr>
        <w:t>第四章  评审方法</w:t>
      </w:r>
      <w:bookmarkEnd w:id="38"/>
    </w:p>
    <w:p>
      <w:pPr>
        <w:pStyle w:val="8"/>
        <w:spacing w:line="380" w:lineRule="exact"/>
        <w:ind w:firstLine="420"/>
        <w:jc w:val="left"/>
        <w:rPr>
          <w:rFonts w:ascii="Times New Roman" w:hAnsi="Times New Roman" w:cs="Times New Roman"/>
          <w:bCs/>
          <w:color w:val="auto"/>
          <w:highlight w:val="none"/>
        </w:rPr>
      </w:pPr>
    </w:p>
    <w:p>
      <w:pPr>
        <w:pStyle w:val="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（一）竞争性磋商小组构成：本采购项目的竞争性磋商小组由代表共3人</w:t>
      </w:r>
      <w:r>
        <w:rPr>
          <w:rFonts w:hint="eastAsia" w:hAnsi="宋体" w:cs="宋体"/>
          <w:bCs/>
          <w:color w:val="auto"/>
          <w:sz w:val="24"/>
          <w:szCs w:val="24"/>
          <w:highlight w:val="none"/>
          <w:lang w:val="en-US" w:eastAsia="zh-CN"/>
        </w:rPr>
        <w:t>及以上</w:t>
      </w:r>
      <w:r>
        <w:rPr>
          <w:rFonts w:hint="eastAsia" w:ascii="宋体" w:hAnsi="宋体" w:eastAsia="宋体" w:cs="宋体"/>
          <w:bCs/>
          <w:color w:val="auto"/>
          <w:sz w:val="24"/>
          <w:szCs w:val="24"/>
          <w:highlight w:val="none"/>
        </w:rPr>
        <w:t>单数构成。</w:t>
      </w:r>
    </w:p>
    <w:p>
      <w:pPr>
        <w:pStyle w:val="8"/>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评标依据：竞争性磋商小组将以竞争性磋商采购文件、磋商响应文件为评标依据，采用综合评分法，通过现场磋商打分确定最终排名。评分维度及分值占比如下：价格分15分，产品规划与技术方案52分，企业资质23分，增值服务10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（三）计分办法（按四舍五入取至小数点后两位）：</w:t>
      </w:r>
    </w:p>
    <w:p>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（四）评分细则：</w:t>
      </w: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3"/>
        <w:gridCol w:w="1364"/>
        <w:gridCol w:w="5013"/>
        <w:gridCol w:w="809"/>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类别</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评分项目</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最高分值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价格（15分）</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报价合理性</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以19.8万元为最高限价，采用平均价格法计算出基准价，以基准价为基准，偏差率为0%得15分，每偏离1%扣0.3分，扣完为止。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u w:val="none"/>
                <w:lang w:val="en-US" w:eastAsia="zh-CN" w:bidi="ar"/>
              </w:rPr>
              <w:t>实际得分=15-[（实际报价-基准价）/基准价*100*0.3]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费用明细清晰合理，详细说明平台开发、功能实现、技术维护、人员服务、后期迭代等各项费用构成及预算依据。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产品规划与技术方案（52分）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方案符合总体诉求</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1.优秀（8-10分）：深度契合经贸中心业务模块，精准把握平台建设核心目标，对东盟经贸服务需求理解透彻，提出针对性解决方案。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2.良好（4-7分）：基本符合业务模块要求，明确平台建设目标，对主要需求有清晰认知。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3.一般（0-3分）：与业务模块匹配度低，对平台建设诉求理解模糊，方案缺乏针对性。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为后期增加服务预留接口</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1.优秀（5-7分）：完全满足一期建设需求清单，预留完善的二期、三期功能拓展接口，接口标准规范，各板块设置完全契合经贸中心业务逻辑。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2.良好（3-4分）：满足一期核心需求，预留基本拓展接口，各板块设置基本符合业务逻辑。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3.一般（0-2分）：未完全满足一期需求，拓展接口预留不足或不规范，板块设置存在业务逻辑偏差。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版面设计美观实用</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1.优秀（4-5分）：版面设计美观大方，风格契合东盟经贸主题，功能分区清晰，操作便捷，用户体验极佳。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2.良好（2-3分）：版面设计较美观，功能分区基本清晰，操作相对便捷。</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3.一般（0-1分）：版面设计粗糙，功能分区混乱，操作复杂，影响使用。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公共服务知识库</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1.优秀（4-5分）：知识库分类精准，“投资广西、出海东盟”内容全面，涵盖各类政策及营商环境、税收、法规等信息，支持关键词精准搜索，明确语音播报及人工维护方案。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2.良好（2-3分）：分类合理，核心内容较完整，支持基本关键词搜索，提及语音播报及维护计划。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3.一般（0-1分）：分类混乱，内容缺失严重，搜索功能不完善，无语音播报及维护方案。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贸易配对-供需信息大厅</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1.优秀（4-5分）：供需信息展示区设计合理，支持企业便捷发布信息，实现中外企业在线实时咨询、智能匹配及精准合作对接，功能完善。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2.良好（2-3分）：具备基本信息展示及发布功能，支持简单在线咨询与合作对接。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3.一般（0-1分）：信息展示混乱，发布功能繁琐，缺乏有效的咨询对接渠道。</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活动管理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1.优秀（4-5分）：完整实现报名、通知、签到等功能，数据沉淀规范，成功打通抖音、小红书等新媒体直播平台留资通道，实现信息采集与统一管理。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2.良好（2-3分）：具备核心活动管理功能，数据沉淀基本规范，初步对接部分新媒体平台留资通道。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3.一般（0-1分）：活动管理功能不完善，数据沉淀混乱，未对接新媒体平台留资通道。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客户管理模块（CRM系统）数据归集与分析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1.优秀（4-5分）：全面接入各渠道客户数据，构建完善的客户管理体系，支持多维度业务分类、精准服务追踪、深度需求分析及行为预测，决策支撑能力强。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2.良好（2-3分）：接入主要渠道客户数据，建立基本客户管理体系，支持基础业务分类与服务追踪。3.一般（0-1分）：数据接入不全面，客户管理体系不完善，缺乏有效的分析与决策支撑功能。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日常技术维护及应急响应</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1.优秀（3-4分）：应急响应机制完善，系统问题12小时内到场修复，大型活动前专属人员全面调试，确保高并发稳定运行，维护方案细致。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2.良好（1-2分）：建立应急响应机制，系统问题24小时内到场修复，大型活动前有基本调试安排。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3.一般（0分）：应急响应机制缺失，维护保障能力不足，无法确保系统稳定运行。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项目分阶段实施计划</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1.优秀（2-3分）：实施计划清晰详尽，时间节点精准，完全保障2025年12月30日前完成一期建设，模块上线时间明确，责任分工具体到人。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2.良好（1分）：实施计划较清晰，时间节点基本明确，能满足一期建设时限要求，责任分工较清晰。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3.一般（0分）：实施计划混乱，时间节点模糊，无法保障一期建设时限，责任分工不明确。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复盘与迭代机制</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1.优秀（2-3分）：建立科学完善的复盘机制，每月全面复盘平台功能、运行稳定性及企业反馈，迭代优化方案具体可行，有明确的优化周期。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2.良好（1分）：建立基本复盘机制，定期复盘核心内容，提出初步迭代优化思路。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3.一般（0分）：无明确复盘机制，缺乏迭代优化规划。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企业资质（23分）</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专业证书</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1.优秀（4-5分）：具备ISO质量管理体系认证证书、基于IM及时通讯的展会线上供需采购对接平台V1.0证书及多维互动的站上信息线上展示服务平台V1.0证书。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2.良好（2-3分）：具备ISO质量管理体系认证证书及其中一项专业技术证书。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3.一般（0-1分）：仅具备ISO质量管理体系认证证书或一项专业技术证书，或无相关证书。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案例数量与质量</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1.优秀（13-18分）：提供6个及以上符合要求的成功案例，案例均为服务政府经贸部门或东盟相关机构的重点项目（需提供合同，合同金额≥100万元），验收评价优异。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2.良好（7-12分）：提供4-5个符合要求的成功案例（需提供合同，合同金额≥100万元），验收情况良好。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3.一般（0-6分）：提供案例不足4个，或案例不符合服务对象要求，合同金额不达标，缺乏验收报告。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增值服务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（10分）</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导入客户资源</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1.优秀（2-3分）：承诺导入大量与中国—东盟经贸业务高度契合的优质客户资源，资源数量明确，质量有保障，提供具体导入方案。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2.良好（1分）：承诺导入一定数量的相关客户资源，提及基本导入思路。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3.一般（0分）：未承诺导入客户资源或仅作模糊表述，无实际方案。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AI智能有关服务</w:t>
            </w:r>
          </w:p>
        </w:tc>
        <w:tc>
          <w:tcPr>
            <w:tcW w:w="50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1、提供AI智能咨询得0.5分；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2、在贸易配对模块，设置智能需求匹配，达到AI撮合效果，得0.5分。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3、在客户管理模块（CRM系统）设置智能工单生成与分配，提升服务客户的效率，得0.5分。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4、设置企业出海服务包模块，结合经贸中心企业出海服务包内容，企业选择服务需求，系统匹配形成智能工单推送至业务部门，得0.5分。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5、开设多语种线上会议室，支持中外人员多人同时开展线上会议，支持中文英文及小语种同传实时翻译，提供会议纪要自动生成与翻译服务，得0.5分。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以上细项分数汇总得出最终得分。</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0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公共服务模块</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1.优秀（1-1.5分）：全面实现业务导办与客户服务、东盟合作产业园区对接、外贸综合服务平台接入三项功能，服务流程顺畅。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2.良好（0.5分）：实现两项公共服务模块功能。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3.一般（0分）：仅实现一项功能或未实现相关功能。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东盟小语种有关服务</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1.优秀（1-1.5分）：支持东盟小语种培训、人才招聘、翻译等多项服务的平台接入与延展，语种覆盖全面。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2.良好（0.5分）：支持两项东盟小语种相关服务的接入与延展。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3.一般（0分）：仅支持一项简单服务或无相关服务支持。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团队配置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1.优秀（1-1.5分）：公司注册资本≥100万元且运营≥3年，资质完备；核心团队≥5人，均具备3年以上相关经验，社保证明齐全；开发平台获省市级及以上认证或奖励。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2.良好（0.5分）：满足注册资本、运营年限及核心团队基本要求，部分成员有社保证明，开发平台获县级奖励。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3.一般（0分）：未满足注册资本或运营年限要求，团队配置不达标，无相关认证奖励。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总分合计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r>
    </w:tbl>
    <w:p>
      <w:pPr>
        <w:pStyle w:val="18"/>
        <w:keepNext w:val="0"/>
        <w:keepLines w:val="0"/>
        <w:pageBreakBefore w:val="0"/>
        <w:tabs>
          <w:tab w:val="left" w:pos="1165"/>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（五）总得分＝1</w:t>
      </w:r>
      <w:bookmarkStart w:id="49" w:name="OLE_LINK1"/>
      <w:r>
        <w:rPr>
          <w:rFonts w:hint="eastAsia" w:ascii="宋体" w:hAnsi="宋体" w:eastAsia="宋体" w:cs="宋体"/>
          <w:b/>
          <w:color w:val="auto"/>
          <w:sz w:val="24"/>
          <w:szCs w:val="24"/>
          <w:highlight w:val="none"/>
        </w:rPr>
        <w:t>＋</w:t>
      </w:r>
      <w:bookmarkEnd w:id="49"/>
      <w:r>
        <w:rPr>
          <w:rFonts w:hint="eastAsia" w:ascii="宋体" w:hAnsi="宋体" w:eastAsia="宋体" w:cs="宋体"/>
          <w:b/>
          <w:color w:val="auto"/>
          <w:sz w:val="24"/>
          <w:szCs w:val="24"/>
          <w:highlight w:val="none"/>
        </w:rPr>
        <w:t>2＋3＋</w:t>
      </w:r>
      <w:r>
        <w:rPr>
          <w:rFonts w:hint="eastAsia" w:ascii="宋体" w:hAnsi="宋体" w:cs="宋体"/>
          <w:b/>
          <w:color w:val="auto"/>
          <w:sz w:val="24"/>
          <w:szCs w:val="24"/>
          <w:highlight w:val="none"/>
          <w:lang w:val="en-US" w:eastAsia="zh-CN"/>
        </w:rPr>
        <w:t>4</w:t>
      </w:r>
    </w:p>
    <w:p>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（六）中标标准：磋商小组将按总得分由高到低排列中标候选竞标人顺序（总得分相同时，依次按投标报价低优先、方案分高优先的顺序排列），并依照次序确定中标竞标人。</w:t>
      </w:r>
    </w:p>
    <w:p>
      <w:pPr>
        <w:keepNext w:val="0"/>
        <w:keepLines w:val="0"/>
        <w:pageBreakBefore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（七）特别说明</w:t>
      </w:r>
    </w:p>
    <w:p>
      <w:pPr>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磋商小组认为竞标人的报价明显低于其他通过符合性审查竞标人的报价，有可能影响服务质量或者不能诚信履约的，应当要求其在评标现场合理的时间内提供书面说明，必要时提交相关证明材料；竞标人</w:t>
      </w:r>
      <w:r>
        <w:rPr>
          <w:rFonts w:hint="eastAsia" w:ascii="宋体" w:hAnsi="宋体" w:cs="宋体"/>
          <w:bCs/>
          <w:color w:val="auto"/>
          <w:sz w:val="24"/>
          <w:szCs w:val="24"/>
          <w:highlight w:val="none"/>
          <w:lang w:val="en-US" w:eastAsia="zh-CN"/>
        </w:rPr>
        <w:t>不</w:t>
      </w:r>
      <w:r>
        <w:rPr>
          <w:rFonts w:hint="eastAsia" w:ascii="宋体" w:hAnsi="宋体" w:eastAsia="宋体" w:cs="宋体"/>
          <w:bCs/>
          <w:color w:val="auto"/>
          <w:sz w:val="24"/>
          <w:szCs w:val="24"/>
          <w:highlight w:val="none"/>
        </w:rPr>
        <w:t>能证明其报价合理性的，磋商小组应当将其作为无效竞标处理。</w:t>
      </w:r>
    </w:p>
    <w:p>
      <w:pPr>
        <w:rPr>
          <w:color w:val="auto"/>
          <w:highlight w:val="none"/>
        </w:rPr>
      </w:pPr>
    </w:p>
    <w:p>
      <w:pPr>
        <w:pStyle w:val="3"/>
        <w:rPr>
          <w:color w:val="auto"/>
          <w:highlight w:val="none"/>
        </w:rPr>
      </w:pPr>
    </w:p>
    <w:p>
      <w:pPr>
        <w:rPr>
          <w:color w:val="auto"/>
          <w:highlight w:val="none"/>
        </w:rPr>
      </w:pPr>
    </w:p>
    <w:p>
      <w:pPr>
        <w:rPr>
          <w:color w:val="auto"/>
          <w:highlight w:val="none"/>
        </w:rPr>
      </w:pPr>
    </w:p>
    <w:p>
      <w:pPr>
        <w:pStyle w:val="2"/>
        <w:jc w:val="both"/>
        <w:rPr>
          <w:rFonts w:hint="eastAsia"/>
          <w:color w:val="auto"/>
          <w:highlight w:val="none"/>
          <w:lang w:val="en-US" w:eastAsia="zh-CN"/>
        </w:rPr>
      </w:pPr>
      <w:bookmarkStart w:id="50" w:name="_Toc77937045"/>
      <w:r>
        <w:rPr>
          <w:rFonts w:hint="eastAsia"/>
          <w:color w:val="auto"/>
          <w:highlight w:val="none"/>
          <w:lang w:val="en-US" w:eastAsia="zh-CN"/>
        </w:rPr>
        <w:t xml:space="preserve"> </w:t>
      </w:r>
    </w:p>
    <w:p>
      <w:pPr>
        <w:rPr>
          <w:rFonts w:hint="eastAsia"/>
          <w:color w:val="auto"/>
          <w:highlight w:val="none"/>
          <w:lang w:val="en-US" w:eastAsia="zh-CN"/>
        </w:rPr>
      </w:pPr>
    </w:p>
    <w:p>
      <w:pPr>
        <w:pStyle w:val="2"/>
        <w:rPr>
          <w:color w:val="auto"/>
          <w:highlight w:val="none"/>
        </w:rPr>
      </w:pPr>
    </w:p>
    <w:p>
      <w:pPr>
        <w:pStyle w:val="2"/>
        <w:rPr>
          <w:color w:val="auto"/>
          <w:highlight w:val="none"/>
        </w:rPr>
      </w:pPr>
    </w:p>
    <w:p>
      <w:pPr>
        <w:pStyle w:val="2"/>
        <w:rPr>
          <w:color w:val="auto"/>
          <w:highlight w:val="none"/>
        </w:rPr>
      </w:pPr>
      <w:r>
        <w:rPr>
          <w:color w:val="auto"/>
          <w:highlight w:val="none"/>
        </w:rPr>
        <w:t>第五章  磋商响应文件格式</w:t>
      </w:r>
      <w:bookmarkEnd w:id="50"/>
    </w:p>
    <w:p>
      <w:pPr>
        <w:spacing w:line="500" w:lineRule="exact"/>
        <w:jc w:val="center"/>
        <w:rPr>
          <w:color w:val="auto"/>
          <w:szCs w:val="21"/>
          <w:highlight w:val="none"/>
        </w:rPr>
      </w:pPr>
    </w:p>
    <w:p>
      <w:pPr>
        <w:spacing w:line="500" w:lineRule="exact"/>
        <w:jc w:val="both"/>
        <w:rPr>
          <w:color w:val="auto"/>
          <w:sz w:val="32"/>
          <w:szCs w:val="32"/>
          <w:highlight w:val="none"/>
        </w:rPr>
      </w:pPr>
    </w:p>
    <w:p>
      <w:pPr>
        <w:spacing w:line="500" w:lineRule="exact"/>
        <w:jc w:val="center"/>
        <w:rPr>
          <w:color w:val="auto"/>
          <w:sz w:val="32"/>
          <w:szCs w:val="32"/>
          <w:highlight w:val="none"/>
        </w:rPr>
      </w:pPr>
    </w:p>
    <w:p>
      <w:pPr>
        <w:spacing w:line="500" w:lineRule="exact"/>
        <w:jc w:val="center"/>
        <w:rPr>
          <w:color w:val="auto"/>
          <w:sz w:val="32"/>
          <w:szCs w:val="32"/>
          <w:highlight w:val="none"/>
        </w:rPr>
      </w:pPr>
      <w:r>
        <w:rPr>
          <w:color w:val="auto"/>
          <w:sz w:val="32"/>
          <w:szCs w:val="32"/>
          <w:highlight w:val="none"/>
        </w:rPr>
        <w:br w:type="page"/>
      </w:r>
    </w:p>
    <w:p>
      <w:pPr>
        <w:spacing w:line="500" w:lineRule="exact"/>
        <w:rPr>
          <w:color w:val="auto"/>
          <w:sz w:val="32"/>
          <w:szCs w:val="32"/>
          <w:highlight w:val="none"/>
        </w:rPr>
      </w:pPr>
    </w:p>
    <w:p>
      <w:pPr>
        <w:spacing w:line="500" w:lineRule="exact"/>
        <w:jc w:val="center"/>
        <w:rPr>
          <w:color w:val="auto"/>
          <w:sz w:val="44"/>
          <w:szCs w:val="44"/>
          <w:highlight w:val="none"/>
        </w:rPr>
      </w:pPr>
      <w:r>
        <w:rPr>
          <w:color w:val="auto"/>
          <w:sz w:val="44"/>
          <w:szCs w:val="44"/>
          <w:highlight w:val="none"/>
        </w:rPr>
        <w:t>竞争性磋商响应文件（封面）</w:t>
      </w:r>
    </w:p>
    <w:p>
      <w:pPr>
        <w:spacing w:line="500" w:lineRule="exact"/>
        <w:jc w:val="center"/>
        <w:rPr>
          <w:color w:val="auto"/>
          <w:szCs w:val="21"/>
          <w:highlight w:val="none"/>
        </w:rPr>
      </w:pPr>
    </w:p>
    <w:p>
      <w:pPr>
        <w:spacing w:line="500" w:lineRule="exact"/>
        <w:jc w:val="center"/>
        <w:rPr>
          <w:color w:val="auto"/>
          <w:szCs w:val="21"/>
          <w:highlight w:val="none"/>
        </w:rPr>
      </w:pPr>
    </w:p>
    <w:p>
      <w:pPr>
        <w:spacing w:line="500" w:lineRule="exact"/>
        <w:jc w:val="center"/>
        <w:rPr>
          <w:color w:val="auto"/>
          <w:szCs w:val="21"/>
          <w:highlight w:val="none"/>
        </w:rPr>
      </w:pPr>
    </w:p>
    <w:p>
      <w:pPr>
        <w:spacing w:line="500" w:lineRule="exact"/>
        <w:jc w:val="center"/>
        <w:rPr>
          <w:color w:val="auto"/>
          <w:szCs w:val="21"/>
          <w:highlight w:val="none"/>
        </w:rPr>
      </w:pPr>
    </w:p>
    <w:p>
      <w:pPr>
        <w:spacing w:line="500" w:lineRule="exact"/>
        <w:jc w:val="center"/>
        <w:rPr>
          <w:color w:val="auto"/>
          <w:szCs w:val="21"/>
          <w:highlight w:val="none"/>
        </w:rPr>
      </w:pPr>
    </w:p>
    <w:p>
      <w:pPr>
        <w:tabs>
          <w:tab w:val="left" w:pos="3240"/>
        </w:tabs>
        <w:spacing w:line="600" w:lineRule="auto"/>
        <w:ind w:firstLine="2158" w:firstLineChars="771"/>
        <w:rPr>
          <w:color w:val="auto"/>
          <w:sz w:val="28"/>
          <w:szCs w:val="28"/>
          <w:highlight w:val="none"/>
        </w:rPr>
      </w:pPr>
    </w:p>
    <w:p>
      <w:pPr>
        <w:tabs>
          <w:tab w:val="left" w:pos="3240"/>
        </w:tabs>
        <w:spacing w:line="600" w:lineRule="auto"/>
        <w:ind w:firstLine="2158" w:firstLineChars="771"/>
        <w:rPr>
          <w:color w:val="auto"/>
          <w:sz w:val="28"/>
          <w:szCs w:val="28"/>
          <w:highlight w:val="none"/>
          <w:u w:val="single"/>
        </w:rPr>
      </w:pPr>
      <w:r>
        <w:rPr>
          <w:color w:val="auto"/>
          <w:sz w:val="28"/>
          <w:szCs w:val="28"/>
          <w:highlight w:val="none"/>
        </w:rPr>
        <w:t>采购项目名称：</w:t>
      </w:r>
      <w:r>
        <w:rPr>
          <w:color w:val="auto"/>
          <w:sz w:val="28"/>
          <w:szCs w:val="28"/>
          <w:highlight w:val="none"/>
          <w:u w:val="single"/>
        </w:rPr>
        <w:t xml:space="preserve">                       </w:t>
      </w:r>
    </w:p>
    <w:p>
      <w:pPr>
        <w:spacing w:line="600" w:lineRule="auto"/>
        <w:ind w:firstLine="2158" w:firstLineChars="771"/>
        <w:rPr>
          <w:color w:val="auto"/>
          <w:sz w:val="28"/>
          <w:szCs w:val="28"/>
          <w:highlight w:val="none"/>
        </w:rPr>
      </w:pPr>
    </w:p>
    <w:p>
      <w:pPr>
        <w:spacing w:line="600" w:lineRule="auto"/>
        <w:ind w:firstLine="2158" w:firstLineChars="771"/>
        <w:rPr>
          <w:color w:val="auto"/>
          <w:sz w:val="28"/>
          <w:szCs w:val="28"/>
          <w:highlight w:val="none"/>
          <w:u w:val="single"/>
        </w:rPr>
      </w:pPr>
      <w:r>
        <w:rPr>
          <w:color w:val="auto"/>
          <w:sz w:val="28"/>
          <w:szCs w:val="28"/>
          <w:highlight w:val="none"/>
        </w:rPr>
        <w:t>采购项目编号：</w:t>
      </w:r>
      <w:r>
        <w:rPr>
          <w:color w:val="auto"/>
          <w:sz w:val="28"/>
          <w:szCs w:val="28"/>
          <w:highlight w:val="none"/>
          <w:u w:val="single"/>
        </w:rPr>
        <w:t xml:space="preserve">                       </w:t>
      </w:r>
    </w:p>
    <w:p>
      <w:pPr>
        <w:spacing w:line="600" w:lineRule="auto"/>
        <w:ind w:firstLine="2158" w:firstLineChars="771"/>
        <w:rPr>
          <w:color w:val="auto"/>
          <w:sz w:val="28"/>
          <w:szCs w:val="28"/>
          <w:highlight w:val="none"/>
        </w:rPr>
      </w:pPr>
    </w:p>
    <w:p>
      <w:pPr>
        <w:tabs>
          <w:tab w:val="left" w:pos="2625"/>
        </w:tabs>
        <w:spacing w:line="600" w:lineRule="auto"/>
        <w:jc w:val="center"/>
        <w:rPr>
          <w:color w:val="auto"/>
          <w:szCs w:val="21"/>
          <w:highlight w:val="none"/>
        </w:rPr>
      </w:pPr>
    </w:p>
    <w:p>
      <w:pPr>
        <w:tabs>
          <w:tab w:val="left" w:pos="2625"/>
        </w:tabs>
        <w:spacing w:line="500" w:lineRule="exact"/>
        <w:jc w:val="center"/>
        <w:rPr>
          <w:color w:val="auto"/>
          <w:szCs w:val="21"/>
          <w:highlight w:val="none"/>
        </w:rPr>
      </w:pPr>
    </w:p>
    <w:p>
      <w:pPr>
        <w:tabs>
          <w:tab w:val="left" w:pos="2625"/>
        </w:tabs>
        <w:spacing w:line="500" w:lineRule="exact"/>
        <w:jc w:val="center"/>
        <w:rPr>
          <w:color w:val="auto"/>
          <w:szCs w:val="21"/>
          <w:highlight w:val="none"/>
        </w:rPr>
      </w:pPr>
    </w:p>
    <w:p>
      <w:pPr>
        <w:tabs>
          <w:tab w:val="left" w:pos="2625"/>
        </w:tabs>
        <w:spacing w:line="500" w:lineRule="exact"/>
        <w:jc w:val="center"/>
        <w:rPr>
          <w:color w:val="auto"/>
          <w:szCs w:val="21"/>
          <w:highlight w:val="none"/>
        </w:rPr>
      </w:pPr>
    </w:p>
    <w:p>
      <w:pPr>
        <w:spacing w:line="500" w:lineRule="exact"/>
        <w:rPr>
          <w:color w:val="auto"/>
          <w:szCs w:val="21"/>
          <w:highlight w:val="none"/>
        </w:rPr>
      </w:pPr>
    </w:p>
    <w:p>
      <w:pPr>
        <w:spacing w:line="500" w:lineRule="exact"/>
        <w:jc w:val="center"/>
        <w:rPr>
          <w:color w:val="auto"/>
          <w:sz w:val="28"/>
          <w:szCs w:val="28"/>
          <w:highlight w:val="none"/>
        </w:rPr>
      </w:pPr>
      <w:r>
        <w:rPr>
          <w:color w:val="auto"/>
          <w:sz w:val="28"/>
          <w:szCs w:val="28"/>
          <w:highlight w:val="none"/>
        </w:rPr>
        <w:t xml:space="preserve">                           （竞标</w:t>
      </w:r>
      <w:r>
        <w:rPr>
          <w:rFonts w:hint="eastAsia"/>
          <w:color w:val="auto"/>
          <w:sz w:val="28"/>
          <w:szCs w:val="28"/>
          <w:highlight w:val="none"/>
        </w:rPr>
        <w:t>人</w:t>
      </w:r>
      <w:r>
        <w:rPr>
          <w:color w:val="auto"/>
          <w:sz w:val="28"/>
          <w:szCs w:val="28"/>
          <w:highlight w:val="none"/>
        </w:rPr>
        <w:t>名称）</w:t>
      </w:r>
    </w:p>
    <w:p>
      <w:pPr>
        <w:spacing w:line="500" w:lineRule="exact"/>
        <w:jc w:val="center"/>
        <w:rPr>
          <w:color w:val="auto"/>
          <w:sz w:val="28"/>
          <w:szCs w:val="28"/>
          <w:highlight w:val="none"/>
        </w:rPr>
      </w:pPr>
      <w:r>
        <w:rPr>
          <w:color w:val="auto"/>
          <w:sz w:val="28"/>
          <w:szCs w:val="28"/>
          <w:highlight w:val="none"/>
        </w:rPr>
        <w:t xml:space="preserve">                           年    月    日</w:t>
      </w:r>
    </w:p>
    <w:p>
      <w:pPr>
        <w:spacing w:line="320" w:lineRule="exact"/>
        <w:rPr>
          <w:color w:val="auto"/>
          <w:szCs w:val="21"/>
          <w:highlight w:val="none"/>
        </w:rPr>
      </w:pPr>
    </w:p>
    <w:p>
      <w:pPr>
        <w:spacing w:line="520" w:lineRule="exact"/>
        <w:rPr>
          <w:color w:val="auto"/>
          <w:szCs w:val="21"/>
          <w:highlight w:val="none"/>
        </w:rPr>
      </w:pPr>
    </w:p>
    <w:p>
      <w:pPr>
        <w:spacing w:line="520" w:lineRule="exact"/>
        <w:rPr>
          <w:color w:val="auto"/>
          <w:szCs w:val="21"/>
          <w:highlight w:val="none"/>
        </w:rPr>
      </w:pPr>
    </w:p>
    <w:p>
      <w:pPr>
        <w:spacing w:line="520" w:lineRule="exact"/>
        <w:jc w:val="center"/>
        <w:rPr>
          <w:b/>
          <w:color w:val="auto"/>
          <w:sz w:val="28"/>
          <w:szCs w:val="28"/>
          <w:highlight w:val="none"/>
        </w:rPr>
      </w:pPr>
    </w:p>
    <w:p>
      <w:pPr>
        <w:spacing w:line="520" w:lineRule="exact"/>
        <w:jc w:val="center"/>
        <w:rPr>
          <w:b/>
          <w:color w:val="auto"/>
          <w:sz w:val="28"/>
          <w:szCs w:val="28"/>
          <w:highlight w:val="none"/>
        </w:rPr>
      </w:pPr>
    </w:p>
    <w:p>
      <w:pPr>
        <w:spacing w:line="520" w:lineRule="exact"/>
        <w:jc w:val="center"/>
        <w:rPr>
          <w:b/>
          <w:color w:val="auto"/>
          <w:sz w:val="28"/>
          <w:szCs w:val="28"/>
          <w:highlight w:val="none"/>
        </w:rPr>
      </w:pPr>
    </w:p>
    <w:p>
      <w:pPr>
        <w:spacing w:line="520" w:lineRule="exact"/>
        <w:jc w:val="center"/>
        <w:rPr>
          <w:b/>
          <w:color w:val="auto"/>
          <w:sz w:val="28"/>
          <w:szCs w:val="28"/>
          <w:highlight w:val="none"/>
        </w:rPr>
      </w:pPr>
      <w:r>
        <w:rPr>
          <w:b/>
          <w:color w:val="auto"/>
          <w:sz w:val="28"/>
          <w:szCs w:val="28"/>
          <w:highlight w:val="none"/>
        </w:rPr>
        <w:t>目  录</w:t>
      </w:r>
    </w:p>
    <w:p>
      <w:pPr>
        <w:adjustRightInd w:val="0"/>
        <w:snapToGrid w:val="0"/>
        <w:spacing w:line="360" w:lineRule="auto"/>
        <w:rPr>
          <w:color w:val="auto"/>
          <w:sz w:val="24"/>
          <w:szCs w:val="24"/>
          <w:highlight w:val="none"/>
        </w:rPr>
      </w:pPr>
      <w:r>
        <w:rPr>
          <w:color w:val="auto"/>
          <w:sz w:val="24"/>
          <w:szCs w:val="24"/>
          <w:highlight w:val="none"/>
        </w:rPr>
        <w:t>1.磋商函-------------------------------------------------------------（页码）</w:t>
      </w:r>
    </w:p>
    <w:p>
      <w:pPr>
        <w:adjustRightInd w:val="0"/>
        <w:snapToGrid w:val="0"/>
        <w:spacing w:line="360" w:lineRule="auto"/>
        <w:rPr>
          <w:color w:val="auto"/>
          <w:sz w:val="24"/>
          <w:szCs w:val="24"/>
          <w:highlight w:val="none"/>
        </w:rPr>
      </w:pPr>
      <w:r>
        <w:rPr>
          <w:color w:val="auto"/>
          <w:sz w:val="24"/>
          <w:szCs w:val="24"/>
          <w:highlight w:val="none"/>
        </w:rPr>
        <w:t>2.报价表--------------------------------------------------</w:t>
      </w:r>
    </w:p>
    <w:p>
      <w:pPr>
        <w:adjustRightInd w:val="0"/>
        <w:snapToGrid w:val="0"/>
        <w:spacing w:line="360" w:lineRule="auto"/>
        <w:rPr>
          <w:color w:val="auto"/>
          <w:sz w:val="24"/>
          <w:szCs w:val="24"/>
          <w:highlight w:val="none"/>
        </w:rPr>
      </w:pPr>
      <w:r>
        <w:rPr>
          <w:color w:val="auto"/>
          <w:sz w:val="24"/>
          <w:szCs w:val="24"/>
          <w:highlight w:val="none"/>
        </w:rPr>
        <w:t>3.</w:t>
      </w:r>
      <w:r>
        <w:rPr>
          <w:rFonts w:hint="eastAsia"/>
          <w:color w:val="auto"/>
          <w:sz w:val="24"/>
          <w:szCs w:val="32"/>
          <w:highlight w:val="none"/>
          <w:lang w:val="en-US" w:eastAsia="zh-CN"/>
        </w:rPr>
        <w:t>活动执行方案</w:t>
      </w:r>
      <w:r>
        <w:rPr>
          <w:color w:val="auto"/>
          <w:sz w:val="24"/>
          <w:szCs w:val="24"/>
          <w:highlight w:val="none"/>
        </w:rPr>
        <w:t>--------------------------------------------------</w:t>
      </w:r>
    </w:p>
    <w:p>
      <w:pPr>
        <w:adjustRightInd w:val="0"/>
        <w:snapToGrid w:val="0"/>
        <w:spacing w:line="360" w:lineRule="auto"/>
        <w:rPr>
          <w:color w:val="auto"/>
          <w:sz w:val="24"/>
          <w:szCs w:val="24"/>
          <w:highlight w:val="none"/>
        </w:rPr>
      </w:pPr>
      <w:r>
        <w:rPr>
          <w:color w:val="auto"/>
          <w:sz w:val="24"/>
          <w:szCs w:val="24"/>
          <w:highlight w:val="none"/>
        </w:rPr>
        <w:t>4.商务、技术响应、偏离情况说明表---------------------------------------------</w:t>
      </w:r>
    </w:p>
    <w:p>
      <w:pPr>
        <w:adjustRightInd w:val="0"/>
        <w:snapToGrid w:val="0"/>
        <w:spacing w:line="360" w:lineRule="auto"/>
        <w:rPr>
          <w:color w:val="auto"/>
          <w:sz w:val="24"/>
          <w:szCs w:val="24"/>
          <w:highlight w:val="none"/>
        </w:rPr>
      </w:pPr>
      <w:r>
        <w:rPr>
          <w:color w:val="auto"/>
          <w:sz w:val="24"/>
          <w:szCs w:val="24"/>
          <w:highlight w:val="none"/>
        </w:rPr>
        <w:t>5.法定代表人授权书原件及委托代理人身份证复印件-------------------------------</w:t>
      </w:r>
    </w:p>
    <w:p>
      <w:pPr>
        <w:adjustRightInd w:val="0"/>
        <w:snapToGrid w:val="0"/>
        <w:spacing w:line="360" w:lineRule="auto"/>
        <w:rPr>
          <w:color w:val="auto"/>
          <w:sz w:val="24"/>
          <w:szCs w:val="24"/>
          <w:highlight w:val="none"/>
        </w:rPr>
      </w:pPr>
      <w:r>
        <w:rPr>
          <w:color w:val="auto"/>
          <w:sz w:val="24"/>
          <w:szCs w:val="24"/>
          <w:highlight w:val="none"/>
        </w:rPr>
        <w:t>6.竞标人有效的“营业执照”副本内页复印件------------------------------</w:t>
      </w:r>
    </w:p>
    <w:p>
      <w:pPr>
        <w:adjustRightInd w:val="0"/>
        <w:snapToGrid w:val="0"/>
        <w:spacing w:line="360" w:lineRule="auto"/>
        <w:rPr>
          <w:color w:val="auto"/>
          <w:sz w:val="24"/>
          <w:szCs w:val="24"/>
          <w:highlight w:val="none"/>
        </w:rPr>
      </w:pPr>
      <w:r>
        <w:rPr>
          <w:color w:val="auto"/>
          <w:sz w:val="24"/>
          <w:szCs w:val="24"/>
          <w:highlight w:val="none"/>
        </w:rPr>
        <w:t>7.竞标人类似服务的业绩竞标人同类项目实施情况一览表-------------------------------------</w:t>
      </w:r>
    </w:p>
    <w:p>
      <w:pPr>
        <w:adjustRightInd w:val="0"/>
        <w:snapToGrid w:val="0"/>
        <w:spacing w:line="360" w:lineRule="auto"/>
        <w:rPr>
          <w:color w:val="auto"/>
          <w:sz w:val="24"/>
          <w:szCs w:val="24"/>
          <w:highlight w:val="none"/>
        </w:rPr>
      </w:pPr>
      <w:r>
        <w:rPr>
          <w:color w:val="auto"/>
          <w:sz w:val="24"/>
          <w:szCs w:val="24"/>
          <w:highlight w:val="none"/>
        </w:rPr>
        <w:t>8.其他特殊资质证明------------------------------</w:t>
      </w:r>
    </w:p>
    <w:p>
      <w:pPr>
        <w:adjustRightInd w:val="0"/>
        <w:snapToGrid w:val="0"/>
        <w:spacing w:line="360" w:lineRule="auto"/>
        <w:rPr>
          <w:color w:val="auto"/>
          <w:sz w:val="24"/>
          <w:szCs w:val="24"/>
          <w:highlight w:val="none"/>
        </w:rPr>
      </w:pPr>
      <w:r>
        <w:rPr>
          <w:rFonts w:hint="eastAsia"/>
          <w:color w:val="auto"/>
          <w:sz w:val="24"/>
          <w:szCs w:val="24"/>
          <w:highlight w:val="none"/>
        </w:rPr>
        <w:t>9</w:t>
      </w:r>
      <w:r>
        <w:rPr>
          <w:color w:val="auto"/>
          <w:sz w:val="24"/>
          <w:szCs w:val="24"/>
          <w:highlight w:val="none"/>
        </w:rPr>
        <w:t>.竞标人认为可以证明其能力或业绩的其他材料------------------------------</w:t>
      </w:r>
    </w:p>
    <w:p>
      <w:pPr>
        <w:adjustRightInd w:val="0"/>
        <w:snapToGrid w:val="0"/>
        <w:spacing w:line="360" w:lineRule="auto"/>
        <w:rPr>
          <w:color w:val="auto"/>
          <w:sz w:val="24"/>
          <w:szCs w:val="24"/>
          <w:highlight w:val="none"/>
        </w:rPr>
      </w:pPr>
      <w:r>
        <w:rPr>
          <w:rFonts w:hint="eastAsia"/>
          <w:color w:val="auto"/>
          <w:sz w:val="24"/>
          <w:szCs w:val="24"/>
          <w:highlight w:val="none"/>
        </w:rPr>
        <w:t>10</w:t>
      </w:r>
      <w:r>
        <w:rPr>
          <w:color w:val="auto"/>
          <w:sz w:val="24"/>
          <w:szCs w:val="24"/>
          <w:highlight w:val="none"/>
        </w:rPr>
        <w:t>.项目实施人员一览表-------------------------</w:t>
      </w:r>
    </w:p>
    <w:p>
      <w:pPr>
        <w:spacing w:line="360" w:lineRule="auto"/>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1</w:t>
      </w:r>
      <w:r>
        <w:rPr>
          <w:color w:val="auto"/>
          <w:sz w:val="24"/>
          <w:szCs w:val="24"/>
          <w:highlight w:val="none"/>
        </w:rPr>
        <w:t>.竞标人对本项目的合理化建议和改进措施---------</w:t>
      </w:r>
    </w:p>
    <w:p>
      <w:pPr>
        <w:spacing w:line="360" w:lineRule="auto"/>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2</w:t>
      </w:r>
      <w:r>
        <w:rPr>
          <w:color w:val="auto"/>
          <w:sz w:val="24"/>
          <w:szCs w:val="24"/>
          <w:highlight w:val="none"/>
        </w:rPr>
        <w:t>.本竞争性磋商文件要求提供的其他资料和需要说明的问题---------</w:t>
      </w:r>
    </w:p>
    <w:p>
      <w:pPr>
        <w:widowControl/>
        <w:jc w:val="left"/>
        <w:rPr>
          <w:color w:val="auto"/>
          <w:szCs w:val="21"/>
          <w:highlight w:val="none"/>
        </w:rPr>
      </w:pPr>
      <w:r>
        <w:rPr>
          <w:color w:val="auto"/>
          <w:szCs w:val="21"/>
          <w:highlight w:val="none"/>
        </w:rPr>
        <w:br w:type="page"/>
      </w:r>
    </w:p>
    <w:p>
      <w:pPr>
        <w:spacing w:line="520" w:lineRule="exact"/>
        <w:rPr>
          <w:color w:val="auto"/>
          <w:szCs w:val="21"/>
          <w:highlight w:val="none"/>
        </w:rPr>
      </w:pPr>
      <w:r>
        <w:rPr>
          <w:color w:val="auto"/>
          <w:szCs w:val="21"/>
          <w:highlight w:val="none"/>
        </w:rPr>
        <w:t xml:space="preserve">附件一 </w:t>
      </w:r>
    </w:p>
    <w:p>
      <w:pPr>
        <w:spacing w:line="520" w:lineRule="exact"/>
        <w:jc w:val="center"/>
        <w:rPr>
          <w:rFonts w:hint="eastAsia" w:ascii="黑体" w:hAnsi="黑体" w:eastAsia="黑体" w:cs="黑体"/>
          <w:bCs/>
          <w:color w:val="auto"/>
          <w:sz w:val="36"/>
          <w:szCs w:val="36"/>
          <w:highlight w:val="none"/>
        </w:rPr>
      </w:pPr>
      <w:r>
        <w:rPr>
          <w:rFonts w:hint="eastAsia" w:ascii="黑体" w:hAnsi="黑体" w:eastAsia="黑体" w:cs="黑体"/>
          <w:bCs/>
          <w:color w:val="auto"/>
          <w:sz w:val="36"/>
          <w:szCs w:val="36"/>
          <w:highlight w:val="none"/>
        </w:rPr>
        <w:t>磋商函</w:t>
      </w:r>
    </w:p>
    <w:p>
      <w:pPr>
        <w:spacing w:line="520" w:lineRule="exact"/>
        <w:jc w:val="center"/>
        <w:rPr>
          <w:color w:val="auto"/>
          <w:szCs w:val="21"/>
          <w:highlight w:val="none"/>
        </w:rPr>
      </w:pPr>
    </w:p>
    <w:p>
      <w:pPr>
        <w:pStyle w:val="8"/>
        <w:spacing w:line="520" w:lineRule="exact"/>
        <w:rPr>
          <w:rFonts w:ascii="Times New Roman" w:hAnsi="Times New Roman" w:cs="Times New Roman"/>
          <w:color w:val="auto"/>
          <w:highlight w:val="none"/>
        </w:rPr>
      </w:pPr>
      <w:r>
        <w:rPr>
          <w:rFonts w:ascii="Times New Roman" w:hAnsi="Times New Roman" w:cs="Times New Roman"/>
          <w:bCs/>
          <w:color w:val="auto"/>
          <w:szCs w:val="20"/>
          <w:highlight w:val="none"/>
        </w:rPr>
        <w:t>广西东博国际</w:t>
      </w:r>
      <w:r>
        <w:rPr>
          <w:rFonts w:hint="eastAsia" w:ascii="Times New Roman" w:hAnsi="Times New Roman" w:cs="Times New Roman"/>
          <w:bCs/>
          <w:color w:val="auto"/>
          <w:szCs w:val="20"/>
          <w:highlight w:val="none"/>
          <w:lang w:val="en-US" w:eastAsia="zh-CN"/>
        </w:rPr>
        <w:t>经贸投资</w:t>
      </w:r>
      <w:r>
        <w:rPr>
          <w:rFonts w:ascii="Times New Roman" w:hAnsi="Times New Roman" w:cs="Times New Roman"/>
          <w:bCs/>
          <w:color w:val="auto"/>
          <w:szCs w:val="20"/>
          <w:highlight w:val="none"/>
        </w:rPr>
        <w:t>有限公司</w:t>
      </w:r>
      <w:r>
        <w:rPr>
          <w:rFonts w:ascii="Times New Roman" w:hAnsi="Times New Roman" w:cs="Times New Roman"/>
          <w:color w:val="auto"/>
          <w:highlight w:val="none"/>
        </w:rPr>
        <w:t>：</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依据贵方</w:t>
      </w:r>
      <w:r>
        <w:rPr>
          <w:rFonts w:ascii="Times New Roman" w:hAnsi="Times New Roman" w:cs="Times New Roman"/>
          <w:color w:val="auto"/>
          <w:highlight w:val="none"/>
          <w:u w:val="single"/>
        </w:rPr>
        <w:t>（项目名称）</w:t>
      </w:r>
      <w:r>
        <w:rPr>
          <w:rFonts w:ascii="Times New Roman" w:hAnsi="Times New Roman" w:cs="Times New Roman"/>
          <w:color w:val="auto"/>
          <w:highlight w:val="none"/>
        </w:rPr>
        <w:t>项目采购的磋商邀请，我方</w:t>
      </w:r>
      <w:r>
        <w:rPr>
          <w:rFonts w:ascii="Times New Roman" w:hAnsi="Times New Roman" w:cs="Times New Roman"/>
          <w:color w:val="auto"/>
          <w:highlight w:val="none"/>
          <w:u w:val="single"/>
        </w:rPr>
        <w:t>（姓名和职务）</w:t>
      </w:r>
      <w:r>
        <w:rPr>
          <w:rFonts w:ascii="Times New Roman" w:hAnsi="Times New Roman" w:cs="Times New Roman"/>
          <w:color w:val="auto"/>
          <w:highlight w:val="none"/>
        </w:rPr>
        <w:t>经正式授权并代表竞标人</w:t>
      </w:r>
      <w:r>
        <w:rPr>
          <w:rFonts w:ascii="Times New Roman" w:hAnsi="Times New Roman" w:cs="Times New Roman"/>
          <w:color w:val="auto"/>
          <w:highlight w:val="none"/>
          <w:u w:val="single"/>
        </w:rPr>
        <w:t>（磋商</w:t>
      </w:r>
      <w:r>
        <w:rPr>
          <w:rFonts w:hint="eastAsia" w:ascii="Times New Roman" w:hAnsi="Times New Roman" w:cs="Times New Roman"/>
          <w:color w:val="auto"/>
          <w:highlight w:val="none"/>
          <w:u w:val="single"/>
        </w:rPr>
        <w:t>竞标人</w:t>
      </w:r>
      <w:r>
        <w:rPr>
          <w:rFonts w:ascii="Times New Roman" w:hAnsi="Times New Roman" w:cs="Times New Roman"/>
          <w:color w:val="auto"/>
          <w:highlight w:val="none"/>
          <w:u w:val="single"/>
        </w:rPr>
        <w:t>名称、地址）</w:t>
      </w:r>
      <w:r>
        <w:rPr>
          <w:rFonts w:ascii="Times New Roman" w:hAnsi="Times New Roman" w:cs="Times New Roman"/>
          <w:color w:val="auto"/>
          <w:highlight w:val="none"/>
        </w:rPr>
        <w:t>提交下述竞争性磋商响应文件正本一份和副本</w:t>
      </w:r>
      <w:r>
        <w:rPr>
          <w:rFonts w:ascii="Times New Roman" w:hAnsi="Times New Roman"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贰</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份。</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1.磋商报价表；</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2.服务（技术设计）方案</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3.商务、技术响应、偏离情况说明表；</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4.按竞争性磋商文件竞标人须知和技术规格要求提供的有关文件；</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5.资格证明文件；</w:t>
      </w:r>
    </w:p>
    <w:p>
      <w:pPr>
        <w:pStyle w:val="8"/>
        <w:spacing w:line="520" w:lineRule="exact"/>
        <w:ind w:firstLine="315" w:firstLineChars="150"/>
        <w:rPr>
          <w:rFonts w:ascii="Times New Roman" w:hAnsi="Times New Roman" w:cs="Times New Roman"/>
          <w:color w:val="auto"/>
          <w:highlight w:val="none"/>
        </w:rPr>
      </w:pPr>
      <w:r>
        <w:rPr>
          <w:rFonts w:ascii="Times New Roman" w:hAnsi="Times New Roman" w:cs="Times New Roman"/>
          <w:color w:val="auto"/>
          <w:highlight w:val="none"/>
        </w:rPr>
        <w:t>在此，授权代表宣布同意如下：</w:t>
      </w:r>
    </w:p>
    <w:p>
      <w:pPr>
        <w:pStyle w:val="8"/>
        <w:spacing w:line="520" w:lineRule="exact"/>
        <w:ind w:firstLine="480"/>
        <w:rPr>
          <w:rFonts w:ascii="Times New Roman" w:hAnsi="Times New Roman" w:cs="Times New Roman"/>
          <w:color w:val="auto"/>
          <w:highlight w:val="none"/>
        </w:rPr>
      </w:pPr>
      <w:r>
        <w:rPr>
          <w:rFonts w:ascii="Times New Roman" w:hAnsi="Times New Roman" w:cs="Times New Roman"/>
          <w:color w:val="auto"/>
          <w:highlight w:val="none"/>
        </w:rPr>
        <w:t>1.将按竞争性磋商文件的约定履行合同责任和义务；</w:t>
      </w:r>
    </w:p>
    <w:p>
      <w:pPr>
        <w:pStyle w:val="8"/>
        <w:spacing w:line="520" w:lineRule="exact"/>
        <w:ind w:left="840" w:hanging="360"/>
        <w:rPr>
          <w:rFonts w:ascii="Times New Roman" w:hAnsi="Times New Roman" w:cs="Times New Roman"/>
          <w:color w:val="auto"/>
          <w:highlight w:val="none"/>
        </w:rPr>
      </w:pPr>
      <w:r>
        <w:rPr>
          <w:rFonts w:ascii="Times New Roman" w:hAnsi="Times New Roman" w:cs="Times New Roman"/>
          <w:color w:val="auto"/>
          <w:highlight w:val="none"/>
        </w:rPr>
        <w:t>2.已详细审查全部竞争性磋商文件，包括</w:t>
      </w:r>
      <w:r>
        <w:rPr>
          <w:rFonts w:ascii="Times New Roman" w:hAnsi="Times New Roman" w:cs="Times New Roman"/>
          <w:color w:val="auto"/>
          <w:highlight w:val="none"/>
          <w:u w:val="single"/>
        </w:rPr>
        <w:t>（补遗文件）（如果有的话）</w:t>
      </w:r>
      <w:r>
        <w:rPr>
          <w:rFonts w:ascii="Times New Roman" w:hAnsi="Times New Roman" w:cs="Times New Roman"/>
          <w:color w:val="auto"/>
          <w:highlight w:val="none"/>
        </w:rPr>
        <w:t>；我们完全理解并同意放弃对这方面有不明及误解的权力；</w:t>
      </w:r>
    </w:p>
    <w:p>
      <w:pPr>
        <w:pStyle w:val="8"/>
        <w:spacing w:line="520" w:lineRule="exact"/>
        <w:ind w:left="840" w:hanging="360"/>
        <w:rPr>
          <w:rFonts w:ascii="Times New Roman" w:hAnsi="Times New Roman" w:cs="Times New Roman"/>
          <w:color w:val="auto"/>
          <w:highlight w:val="none"/>
        </w:rPr>
      </w:pPr>
      <w:r>
        <w:rPr>
          <w:rFonts w:ascii="Times New Roman" w:hAnsi="Times New Roman" w:cs="Times New Roman"/>
          <w:color w:val="auto"/>
          <w:highlight w:val="none"/>
        </w:rPr>
        <w:t>3.同意提供按照贵方可能要求的与其磋商有关的一切数据或资料；</w:t>
      </w:r>
    </w:p>
    <w:p>
      <w:pPr>
        <w:pStyle w:val="8"/>
        <w:spacing w:line="520" w:lineRule="exact"/>
        <w:ind w:firstLine="480"/>
        <w:rPr>
          <w:rFonts w:ascii="Times New Roman" w:hAnsi="Times New Roman" w:cs="Times New Roman"/>
          <w:color w:val="auto"/>
          <w:highlight w:val="none"/>
          <w:u w:val="single"/>
        </w:rPr>
      </w:pPr>
      <w:r>
        <w:rPr>
          <w:rFonts w:ascii="Times New Roman" w:hAnsi="Times New Roman" w:cs="Times New Roman"/>
          <w:color w:val="auto"/>
          <w:highlight w:val="none"/>
        </w:rPr>
        <w:t>4.与本磋商有关的一切正式往来信函请寄：</w:t>
      </w:r>
      <w:r>
        <w:rPr>
          <w:rFonts w:ascii="Times New Roman" w:hAnsi="Times New Roman" w:cs="Times New Roman"/>
          <w:color w:val="auto"/>
          <w:highlight w:val="none"/>
          <w:u w:val="single"/>
        </w:rPr>
        <w:t xml:space="preserve">                       </w:t>
      </w:r>
    </w:p>
    <w:p>
      <w:pPr>
        <w:pStyle w:val="8"/>
        <w:spacing w:line="520" w:lineRule="exact"/>
        <w:ind w:firstLine="840"/>
        <w:rPr>
          <w:rFonts w:ascii="Times New Roman" w:hAnsi="Times New Roman" w:cs="Times New Roman"/>
          <w:color w:val="auto"/>
          <w:highlight w:val="none"/>
        </w:rPr>
      </w:pPr>
      <w:r>
        <w:rPr>
          <w:rFonts w:ascii="Times New Roman" w:hAnsi="Times New Roman" w:cs="Times New Roman"/>
          <w:color w:val="auto"/>
          <w:highlight w:val="none"/>
        </w:rPr>
        <w:t>电话/传真：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电子函件：</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pStyle w:val="8"/>
        <w:spacing w:line="520" w:lineRule="exact"/>
        <w:ind w:firstLine="840"/>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pStyle w:val="8"/>
        <w:spacing w:line="520" w:lineRule="exact"/>
        <w:ind w:firstLine="840"/>
        <w:rPr>
          <w:rFonts w:ascii="Times New Roman" w:hAnsi="Times New Roman" w:cs="Times New Roman"/>
          <w:color w:val="auto"/>
          <w:highlight w:val="none"/>
          <w:u w:val="single"/>
        </w:rPr>
      </w:pPr>
      <w:r>
        <w:rPr>
          <w:rFonts w:ascii="Times New Roman" w:hAnsi="Times New Roman" w:cs="Times New Roman"/>
          <w:color w:val="auto"/>
          <w:highlight w:val="none"/>
        </w:rPr>
        <w:t>竞标人或法定代表人授权代表签字：</w:t>
      </w:r>
      <w:r>
        <w:rPr>
          <w:rFonts w:ascii="Times New Roman" w:hAnsi="Times New Roman" w:cs="Times New Roman"/>
          <w:color w:val="auto"/>
          <w:highlight w:val="none"/>
          <w:u w:val="single"/>
        </w:rPr>
        <w:t xml:space="preserve">                       </w:t>
      </w:r>
    </w:p>
    <w:p>
      <w:pPr>
        <w:pStyle w:val="8"/>
        <w:spacing w:line="520" w:lineRule="exact"/>
        <w:ind w:firstLine="840"/>
        <w:rPr>
          <w:rFonts w:ascii="Times New Roman" w:hAnsi="Times New Roman" w:cs="Times New Roman"/>
          <w:color w:val="auto"/>
          <w:highlight w:val="none"/>
        </w:rPr>
      </w:pPr>
      <w:r>
        <w:rPr>
          <w:rFonts w:hint="eastAsia" w:ascii="Times New Roman" w:hAnsi="Times New Roman" w:cs="Times New Roman"/>
          <w:color w:val="auto"/>
          <w:highlight w:val="none"/>
        </w:rPr>
        <w:t>竞标人</w:t>
      </w:r>
      <w:r>
        <w:rPr>
          <w:rFonts w:ascii="Times New Roman" w:hAnsi="Times New Roman" w:cs="Times New Roman"/>
          <w:color w:val="auto"/>
          <w:highlight w:val="none"/>
        </w:rPr>
        <w:t>名称（签章）：</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pStyle w:val="8"/>
        <w:spacing w:line="520" w:lineRule="exact"/>
        <w:ind w:firstLine="840"/>
        <w:rPr>
          <w:rFonts w:ascii="Times New Roman" w:hAnsi="Times New Roman" w:cs="Times New Roman"/>
          <w:color w:val="auto"/>
          <w:highlight w:val="none"/>
        </w:rPr>
      </w:pPr>
      <w:r>
        <w:rPr>
          <w:rFonts w:ascii="Times New Roman" w:hAnsi="Times New Roman" w:cs="Times New Roman"/>
          <w:color w:val="auto"/>
          <w:highlight w:val="none"/>
        </w:rPr>
        <w:t>开户银行：</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帐号/行号：</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spacing w:line="360" w:lineRule="exact"/>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500" w:lineRule="exact"/>
        <w:rPr>
          <w:color w:val="auto"/>
          <w:szCs w:val="21"/>
          <w:highlight w:val="none"/>
        </w:rPr>
      </w:pPr>
    </w:p>
    <w:p>
      <w:pPr>
        <w:spacing w:line="500" w:lineRule="exact"/>
        <w:jc w:val="center"/>
        <w:rPr>
          <w:color w:val="auto"/>
          <w:szCs w:val="21"/>
          <w:highlight w:val="none"/>
        </w:rPr>
      </w:pPr>
    </w:p>
    <w:p>
      <w:pPr>
        <w:spacing w:line="500" w:lineRule="exact"/>
        <w:rPr>
          <w:color w:val="auto"/>
          <w:szCs w:val="21"/>
          <w:highlight w:val="none"/>
        </w:rPr>
      </w:pPr>
    </w:p>
    <w:p>
      <w:pPr>
        <w:spacing w:line="500" w:lineRule="exact"/>
        <w:rPr>
          <w:color w:val="auto"/>
          <w:szCs w:val="21"/>
          <w:highlight w:val="none"/>
        </w:rPr>
      </w:pPr>
      <w:r>
        <w:rPr>
          <w:color w:val="auto"/>
          <w:szCs w:val="21"/>
          <w:highlight w:val="none"/>
        </w:rPr>
        <w:t xml:space="preserve">附件二             </w:t>
      </w:r>
    </w:p>
    <w:p>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磋商报价表</w:t>
      </w:r>
    </w:p>
    <w:p>
      <w:pPr>
        <w:spacing w:line="500" w:lineRule="exact"/>
        <w:jc w:val="center"/>
        <w:rPr>
          <w:rFonts w:hint="eastAsia" w:ascii="黑体" w:hAnsi="黑体" w:eastAsia="黑体" w:cs="黑体"/>
          <w:color w:val="auto"/>
          <w:szCs w:val="21"/>
          <w:highlight w:val="none"/>
        </w:rPr>
      </w:pPr>
    </w:p>
    <w:p>
      <w:pPr>
        <w:spacing w:line="500" w:lineRule="exact"/>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pPr>
        <w:spacing w:line="500" w:lineRule="exact"/>
        <w:rPr>
          <w:color w:val="auto"/>
          <w:szCs w:val="21"/>
          <w:highlight w:val="none"/>
        </w:rPr>
      </w:pPr>
      <w:r>
        <w:rPr>
          <w:color w:val="auto"/>
          <w:szCs w:val="21"/>
          <w:highlight w:val="none"/>
        </w:rPr>
        <w:t xml:space="preserve">                                                                     单位：元</w:t>
      </w:r>
    </w:p>
    <w:tbl>
      <w:tblPr>
        <w:tblStyle w:val="13"/>
        <w:tblpPr w:leftFromText="180" w:rightFromText="180" w:vertAnchor="text" w:horzAnchor="page" w:tblpX="1309" w:tblpY="215"/>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708"/>
        <w:gridCol w:w="2387"/>
        <w:gridCol w:w="766"/>
        <w:gridCol w:w="1063"/>
        <w:gridCol w:w="158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27" w:type="dxa"/>
            <w:noWrap w:val="0"/>
            <w:vAlign w:val="center"/>
          </w:tcPr>
          <w:p>
            <w:pPr>
              <w:pStyle w:val="8"/>
              <w:jc w:val="center"/>
              <w:rPr>
                <w:rFonts w:ascii="Times New Roman" w:hAnsi="Times New Roman" w:cs="Times New Roman"/>
                <w:color w:val="auto"/>
                <w:spacing w:val="-20"/>
                <w:highlight w:val="none"/>
              </w:rPr>
            </w:pPr>
            <w:r>
              <w:rPr>
                <w:rFonts w:ascii="Times New Roman" w:hAnsi="Times New Roman" w:cs="Times New Roman"/>
                <w:color w:val="auto"/>
                <w:spacing w:val="-20"/>
                <w:highlight w:val="none"/>
              </w:rPr>
              <w:t>序号</w:t>
            </w:r>
          </w:p>
        </w:tc>
        <w:tc>
          <w:tcPr>
            <w:tcW w:w="1708" w:type="dxa"/>
            <w:noWrap w:val="0"/>
            <w:vAlign w:val="center"/>
          </w:tcPr>
          <w:p>
            <w:pPr>
              <w:pStyle w:val="8"/>
              <w:jc w:val="center"/>
              <w:rPr>
                <w:rFonts w:ascii="Times New Roman" w:hAnsi="Times New Roman" w:cs="Times New Roman"/>
                <w:color w:val="auto"/>
                <w:spacing w:val="-20"/>
                <w:highlight w:val="none"/>
              </w:rPr>
            </w:pPr>
            <w:r>
              <w:rPr>
                <w:rFonts w:ascii="Times New Roman" w:hAnsi="Times New Roman" w:cs="Times New Roman"/>
                <w:color w:val="auto"/>
                <w:spacing w:val="-20"/>
                <w:highlight w:val="none"/>
              </w:rPr>
              <w:t>名称</w:t>
            </w:r>
          </w:p>
        </w:tc>
        <w:tc>
          <w:tcPr>
            <w:tcW w:w="2387" w:type="dxa"/>
            <w:noWrap w:val="0"/>
            <w:vAlign w:val="center"/>
          </w:tcPr>
          <w:p>
            <w:pPr>
              <w:pStyle w:val="8"/>
              <w:jc w:val="center"/>
              <w:rPr>
                <w:rFonts w:ascii="Times New Roman" w:hAnsi="Times New Roman" w:cs="Times New Roman"/>
                <w:color w:val="auto"/>
                <w:spacing w:val="-20"/>
                <w:highlight w:val="none"/>
              </w:rPr>
            </w:pPr>
            <w:r>
              <w:rPr>
                <w:rFonts w:ascii="Times New Roman" w:hAnsi="Times New Roman" w:cs="Times New Roman"/>
                <w:color w:val="auto"/>
                <w:highlight w:val="none"/>
              </w:rPr>
              <w:t>服务项目要求(或技术参数需求)</w:t>
            </w:r>
          </w:p>
        </w:tc>
        <w:tc>
          <w:tcPr>
            <w:tcW w:w="766" w:type="dxa"/>
            <w:noWrap w:val="0"/>
            <w:vAlign w:val="center"/>
          </w:tcPr>
          <w:p>
            <w:pPr>
              <w:pStyle w:val="8"/>
              <w:jc w:val="center"/>
              <w:rPr>
                <w:rFonts w:ascii="Times New Roman" w:hAnsi="Times New Roman" w:cs="Times New Roman"/>
                <w:color w:val="auto"/>
                <w:highlight w:val="none"/>
              </w:rPr>
            </w:pPr>
            <w:r>
              <w:rPr>
                <w:rFonts w:ascii="Times New Roman" w:hAnsi="Times New Roman" w:cs="Times New Roman"/>
                <w:color w:val="auto"/>
                <w:highlight w:val="none"/>
              </w:rPr>
              <w:t>数量①</w:t>
            </w:r>
          </w:p>
        </w:tc>
        <w:tc>
          <w:tcPr>
            <w:tcW w:w="1063" w:type="dxa"/>
            <w:noWrap w:val="0"/>
            <w:vAlign w:val="center"/>
          </w:tcPr>
          <w:p>
            <w:pPr>
              <w:pStyle w:val="8"/>
              <w:jc w:val="center"/>
              <w:rPr>
                <w:rFonts w:ascii="Times New Roman" w:hAnsi="Times New Roman" w:cs="Times New Roman"/>
                <w:color w:val="auto"/>
                <w:highlight w:val="none"/>
              </w:rPr>
            </w:pPr>
            <w:r>
              <w:rPr>
                <w:rFonts w:ascii="Times New Roman" w:hAnsi="Times New Roman" w:cs="Times New Roman"/>
                <w:color w:val="auto"/>
                <w:highlight w:val="none"/>
              </w:rPr>
              <w:t>单价（元）②</w:t>
            </w:r>
          </w:p>
        </w:tc>
        <w:tc>
          <w:tcPr>
            <w:tcW w:w="1582" w:type="dxa"/>
            <w:noWrap w:val="0"/>
            <w:vAlign w:val="center"/>
          </w:tcPr>
          <w:p>
            <w:pPr>
              <w:pStyle w:val="8"/>
              <w:rPr>
                <w:rFonts w:ascii="Times New Roman" w:hAnsi="Times New Roman" w:cs="Times New Roman"/>
                <w:color w:val="auto"/>
                <w:highlight w:val="none"/>
              </w:rPr>
            </w:pPr>
            <w:r>
              <w:rPr>
                <w:rFonts w:ascii="Times New Roman" w:hAnsi="Times New Roman" w:cs="Times New Roman"/>
                <w:color w:val="auto"/>
                <w:highlight w:val="none"/>
              </w:rPr>
              <w:t>单项合价（元）</w:t>
            </w:r>
          </w:p>
          <w:p>
            <w:pPr>
              <w:pStyle w:val="8"/>
              <w:rPr>
                <w:rFonts w:ascii="Times New Roman" w:hAnsi="Times New Roman" w:cs="Times New Roman"/>
                <w:color w:val="auto"/>
                <w:highlight w:val="none"/>
              </w:rPr>
            </w:pPr>
            <w:r>
              <w:rPr>
                <w:rFonts w:ascii="Times New Roman" w:hAnsi="Times New Roman" w:cs="Times New Roman"/>
                <w:color w:val="auto"/>
                <w:highlight w:val="none"/>
              </w:rPr>
              <w:t>③＝①×②</w:t>
            </w:r>
          </w:p>
        </w:tc>
        <w:tc>
          <w:tcPr>
            <w:tcW w:w="1342" w:type="dxa"/>
            <w:noWrap w:val="0"/>
            <w:vAlign w:val="center"/>
          </w:tcPr>
          <w:p>
            <w:pPr>
              <w:pStyle w:val="8"/>
              <w:jc w:val="center"/>
              <w:rPr>
                <w:rFonts w:ascii="Times New Roman" w:hAnsi="Times New Roman" w:cs="Times New Roman"/>
                <w:color w:val="auto"/>
                <w:highlight w:val="none"/>
              </w:rPr>
            </w:pPr>
            <w:r>
              <w:rPr>
                <w:rFonts w:ascii="Times New Roman" w:hAnsi="Times New Roman" w:cs="Times New Roman"/>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7" w:type="dxa"/>
            <w:noWrap w:val="0"/>
            <w:vAlign w:val="center"/>
          </w:tcPr>
          <w:p>
            <w:pPr>
              <w:jc w:val="center"/>
              <w:rPr>
                <w:color w:val="auto"/>
                <w:szCs w:val="21"/>
                <w:highlight w:val="none"/>
              </w:rPr>
            </w:pPr>
            <w:r>
              <w:rPr>
                <w:color w:val="auto"/>
                <w:szCs w:val="21"/>
                <w:highlight w:val="none"/>
              </w:rPr>
              <w:t>1</w:t>
            </w:r>
          </w:p>
        </w:tc>
        <w:tc>
          <w:tcPr>
            <w:tcW w:w="1708" w:type="dxa"/>
            <w:noWrap w:val="0"/>
            <w:vAlign w:val="center"/>
          </w:tcPr>
          <w:p>
            <w:pPr>
              <w:jc w:val="center"/>
              <w:rPr>
                <w:rFonts w:hint="default" w:eastAsia="宋体"/>
                <w:color w:val="auto"/>
                <w:szCs w:val="21"/>
                <w:highlight w:val="none"/>
                <w:lang w:val="en-US" w:eastAsia="zh-CN"/>
              </w:rPr>
            </w:pPr>
            <w:r>
              <w:rPr>
                <w:color w:val="auto"/>
                <w:szCs w:val="21"/>
                <w:highlight w:val="none"/>
              </w:rPr>
              <w:t>…</w:t>
            </w:r>
          </w:p>
        </w:tc>
        <w:tc>
          <w:tcPr>
            <w:tcW w:w="2387" w:type="dxa"/>
            <w:noWrap w:val="0"/>
            <w:vAlign w:val="center"/>
          </w:tcPr>
          <w:p>
            <w:pPr>
              <w:pStyle w:val="8"/>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pPr>
              <w:pStyle w:val="8"/>
              <w:rPr>
                <w:rFonts w:ascii="Times New Roman" w:hAnsi="Times New Roman" w:cs="Times New Roman"/>
                <w:color w:val="auto"/>
                <w:highlight w:val="none"/>
              </w:rPr>
            </w:pPr>
          </w:p>
        </w:tc>
        <w:tc>
          <w:tcPr>
            <w:tcW w:w="1063" w:type="dxa"/>
            <w:noWrap w:val="0"/>
            <w:vAlign w:val="center"/>
          </w:tcPr>
          <w:p>
            <w:pPr>
              <w:pStyle w:val="8"/>
              <w:rPr>
                <w:rFonts w:ascii="Times New Roman" w:hAnsi="Times New Roman" w:cs="Times New Roman"/>
                <w:color w:val="auto"/>
                <w:highlight w:val="none"/>
              </w:rPr>
            </w:pPr>
          </w:p>
        </w:tc>
        <w:tc>
          <w:tcPr>
            <w:tcW w:w="1582" w:type="dxa"/>
            <w:noWrap w:val="0"/>
            <w:vAlign w:val="center"/>
          </w:tcPr>
          <w:p>
            <w:pPr>
              <w:pStyle w:val="8"/>
              <w:rPr>
                <w:rFonts w:ascii="Times New Roman" w:hAnsi="Times New Roman" w:cs="Times New Roman"/>
                <w:color w:val="auto"/>
                <w:highlight w:val="none"/>
              </w:rPr>
            </w:pPr>
          </w:p>
        </w:tc>
        <w:tc>
          <w:tcPr>
            <w:tcW w:w="1342" w:type="dxa"/>
            <w:noWrap w:val="0"/>
            <w:vAlign w:val="center"/>
          </w:tcPr>
          <w:p>
            <w:pPr>
              <w:pStyle w:val="8"/>
              <w:rPr>
                <w:rFonts w:ascii="Times New Roman" w:hAnsi="Times New Roman" w:cs="Times New Roman"/>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27" w:type="dxa"/>
            <w:noWrap w:val="0"/>
            <w:vAlign w:val="center"/>
          </w:tcPr>
          <w:p>
            <w:pPr>
              <w:jc w:val="center"/>
              <w:rPr>
                <w:color w:val="auto"/>
                <w:szCs w:val="21"/>
                <w:highlight w:val="none"/>
              </w:rPr>
            </w:pPr>
            <w:r>
              <w:rPr>
                <w:color w:val="auto"/>
                <w:szCs w:val="21"/>
                <w:highlight w:val="none"/>
              </w:rPr>
              <w:t>2</w:t>
            </w:r>
          </w:p>
        </w:tc>
        <w:tc>
          <w:tcPr>
            <w:tcW w:w="1708" w:type="dxa"/>
            <w:noWrap w:val="0"/>
            <w:vAlign w:val="center"/>
          </w:tcPr>
          <w:p>
            <w:pPr>
              <w:jc w:val="center"/>
              <w:rPr>
                <w:rFonts w:hint="default" w:eastAsia="宋体"/>
                <w:color w:val="auto"/>
                <w:szCs w:val="21"/>
                <w:highlight w:val="none"/>
                <w:lang w:val="en-US" w:eastAsia="zh-CN"/>
              </w:rPr>
            </w:pPr>
            <w:r>
              <w:rPr>
                <w:color w:val="auto"/>
                <w:szCs w:val="21"/>
                <w:highlight w:val="none"/>
              </w:rPr>
              <w:t>…</w:t>
            </w:r>
          </w:p>
        </w:tc>
        <w:tc>
          <w:tcPr>
            <w:tcW w:w="2387" w:type="dxa"/>
            <w:noWrap w:val="0"/>
            <w:vAlign w:val="center"/>
          </w:tcPr>
          <w:p>
            <w:pPr>
              <w:pStyle w:val="8"/>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pPr>
              <w:pStyle w:val="8"/>
              <w:rPr>
                <w:rFonts w:ascii="Times New Roman" w:hAnsi="Times New Roman" w:cs="Times New Roman"/>
                <w:color w:val="auto"/>
                <w:highlight w:val="none"/>
              </w:rPr>
            </w:pPr>
          </w:p>
        </w:tc>
        <w:tc>
          <w:tcPr>
            <w:tcW w:w="1063" w:type="dxa"/>
            <w:noWrap w:val="0"/>
            <w:vAlign w:val="center"/>
          </w:tcPr>
          <w:p>
            <w:pPr>
              <w:pStyle w:val="8"/>
              <w:rPr>
                <w:rFonts w:ascii="Times New Roman" w:hAnsi="Times New Roman" w:cs="Times New Roman"/>
                <w:color w:val="auto"/>
                <w:highlight w:val="none"/>
              </w:rPr>
            </w:pPr>
          </w:p>
        </w:tc>
        <w:tc>
          <w:tcPr>
            <w:tcW w:w="1582" w:type="dxa"/>
            <w:noWrap w:val="0"/>
            <w:vAlign w:val="center"/>
          </w:tcPr>
          <w:p>
            <w:pPr>
              <w:pStyle w:val="8"/>
              <w:rPr>
                <w:rFonts w:ascii="Times New Roman" w:hAnsi="Times New Roman" w:cs="Times New Roman"/>
                <w:color w:val="auto"/>
                <w:highlight w:val="none"/>
              </w:rPr>
            </w:pPr>
          </w:p>
        </w:tc>
        <w:tc>
          <w:tcPr>
            <w:tcW w:w="1342" w:type="dxa"/>
            <w:noWrap w:val="0"/>
            <w:vAlign w:val="center"/>
          </w:tcPr>
          <w:p>
            <w:pPr>
              <w:pStyle w:val="8"/>
              <w:rPr>
                <w:rFonts w:ascii="Times New Roman" w:hAnsi="Times New Roman" w:cs="Times New Roman"/>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27" w:type="dxa"/>
            <w:noWrap w:val="0"/>
            <w:vAlign w:val="center"/>
          </w:tcPr>
          <w:p>
            <w:pPr>
              <w:jc w:val="center"/>
              <w:rPr>
                <w:color w:val="auto"/>
                <w:szCs w:val="21"/>
                <w:highlight w:val="none"/>
              </w:rPr>
            </w:pPr>
            <w:r>
              <w:rPr>
                <w:color w:val="auto"/>
                <w:szCs w:val="21"/>
                <w:highlight w:val="none"/>
              </w:rPr>
              <w:t>…</w:t>
            </w:r>
          </w:p>
        </w:tc>
        <w:tc>
          <w:tcPr>
            <w:tcW w:w="1708" w:type="dxa"/>
            <w:noWrap w:val="0"/>
            <w:vAlign w:val="center"/>
          </w:tcPr>
          <w:p>
            <w:pPr>
              <w:jc w:val="center"/>
              <w:rPr>
                <w:color w:val="auto"/>
                <w:szCs w:val="21"/>
                <w:highlight w:val="none"/>
              </w:rPr>
            </w:pPr>
            <w:r>
              <w:rPr>
                <w:color w:val="auto"/>
                <w:szCs w:val="21"/>
                <w:highlight w:val="none"/>
              </w:rPr>
              <w:t>…</w:t>
            </w:r>
          </w:p>
        </w:tc>
        <w:tc>
          <w:tcPr>
            <w:tcW w:w="2387" w:type="dxa"/>
            <w:noWrap w:val="0"/>
            <w:vAlign w:val="center"/>
          </w:tcPr>
          <w:p>
            <w:pPr>
              <w:pStyle w:val="8"/>
              <w:rPr>
                <w:rFonts w:ascii="Times New Roman" w:hAnsi="Times New Roman" w:cs="Times New Roman"/>
                <w:color w:val="auto"/>
                <w:highlight w:val="none"/>
              </w:rPr>
            </w:pPr>
            <w:r>
              <w:rPr>
                <w:rFonts w:ascii="Times New Roman" w:hAnsi="Times New Roman" w:cs="Times New Roman"/>
                <w:color w:val="auto"/>
                <w:highlight w:val="none"/>
              </w:rPr>
              <w:t>…</w:t>
            </w:r>
          </w:p>
        </w:tc>
        <w:tc>
          <w:tcPr>
            <w:tcW w:w="766" w:type="dxa"/>
            <w:noWrap w:val="0"/>
            <w:vAlign w:val="center"/>
          </w:tcPr>
          <w:p>
            <w:pPr>
              <w:pStyle w:val="8"/>
              <w:rPr>
                <w:rFonts w:ascii="Times New Roman" w:hAnsi="Times New Roman" w:cs="Times New Roman"/>
                <w:color w:val="auto"/>
                <w:highlight w:val="none"/>
              </w:rPr>
            </w:pPr>
          </w:p>
        </w:tc>
        <w:tc>
          <w:tcPr>
            <w:tcW w:w="1063" w:type="dxa"/>
            <w:noWrap w:val="0"/>
            <w:vAlign w:val="center"/>
          </w:tcPr>
          <w:p>
            <w:pPr>
              <w:pStyle w:val="8"/>
              <w:rPr>
                <w:rFonts w:ascii="Times New Roman" w:hAnsi="Times New Roman" w:cs="Times New Roman"/>
                <w:color w:val="auto"/>
                <w:highlight w:val="none"/>
              </w:rPr>
            </w:pPr>
            <w:r>
              <w:rPr>
                <w:rFonts w:ascii="Times New Roman" w:hAnsi="Times New Roman" w:cs="Times New Roman"/>
                <w:color w:val="auto"/>
                <w:highlight w:val="none"/>
              </w:rPr>
              <w:t>…</w:t>
            </w:r>
          </w:p>
        </w:tc>
        <w:tc>
          <w:tcPr>
            <w:tcW w:w="1582" w:type="dxa"/>
            <w:noWrap w:val="0"/>
            <w:vAlign w:val="center"/>
          </w:tcPr>
          <w:p>
            <w:pPr>
              <w:pStyle w:val="8"/>
              <w:rPr>
                <w:rFonts w:ascii="Times New Roman" w:hAnsi="Times New Roman" w:cs="Times New Roman"/>
                <w:color w:val="auto"/>
                <w:highlight w:val="none"/>
              </w:rPr>
            </w:pPr>
          </w:p>
        </w:tc>
        <w:tc>
          <w:tcPr>
            <w:tcW w:w="1342" w:type="dxa"/>
            <w:noWrap w:val="0"/>
            <w:vAlign w:val="center"/>
          </w:tcPr>
          <w:p>
            <w:pPr>
              <w:pStyle w:val="8"/>
              <w:rPr>
                <w:rFonts w:ascii="Times New Roman" w:hAnsi="Times New Roman" w:cs="Times New Roman"/>
                <w:color w:val="auto"/>
                <w:spacing w:val="-6"/>
                <w:highlight w:val="none"/>
              </w:rPr>
            </w:pPr>
            <w:r>
              <w:rPr>
                <w:rFonts w:ascii="Times New Roman" w:hAnsi="Times New Roman" w:cs="Times New Roman"/>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475" w:type="dxa"/>
            <w:gridSpan w:val="7"/>
            <w:noWrap w:val="0"/>
            <w:vAlign w:val="center"/>
          </w:tcPr>
          <w:p>
            <w:pPr>
              <w:pStyle w:val="8"/>
              <w:rPr>
                <w:rFonts w:ascii="Times New Roman" w:hAnsi="Times New Roman" w:cs="Times New Roman"/>
                <w:color w:val="auto"/>
                <w:highlight w:val="none"/>
              </w:rPr>
            </w:pPr>
            <w:r>
              <w:rPr>
                <w:rFonts w:hint="eastAsia" w:ascii="Times New Roman" w:hAnsi="Times New Roman" w:cs="Times New Roman"/>
                <w:color w:val="auto"/>
                <w:highlight w:val="none"/>
              </w:rPr>
              <w:t>报价总计（大写）：                                           （￥       ）</w:t>
            </w:r>
          </w:p>
        </w:tc>
      </w:tr>
    </w:tbl>
    <w:p>
      <w:pPr>
        <w:spacing w:line="500" w:lineRule="exact"/>
        <w:rPr>
          <w:color w:val="auto"/>
          <w:szCs w:val="21"/>
          <w:highlight w:val="none"/>
        </w:rPr>
      </w:pPr>
      <w:r>
        <w:rPr>
          <w:color w:val="auto"/>
          <w:szCs w:val="21"/>
          <w:highlight w:val="none"/>
        </w:rPr>
        <w:t>注：1.所有价格均用人民币表示，单位为元，精确到个数位。</w:t>
      </w:r>
    </w:p>
    <w:p>
      <w:pPr>
        <w:spacing w:line="500" w:lineRule="exact"/>
        <w:rPr>
          <w:color w:val="auto"/>
          <w:szCs w:val="21"/>
          <w:highlight w:val="none"/>
        </w:rPr>
      </w:pPr>
      <w:r>
        <w:rPr>
          <w:color w:val="auto"/>
          <w:szCs w:val="21"/>
          <w:highlight w:val="none"/>
        </w:rPr>
        <w:t xml:space="preserve">    2.报价指货物、服务、随配附件、备品备件、工具、货物运抵指定交货地点、安装调试的各种费用和售后服务、税金及其它所有成本、费用的总和。</w:t>
      </w:r>
    </w:p>
    <w:p>
      <w:pPr>
        <w:spacing w:line="500" w:lineRule="exact"/>
        <w:rPr>
          <w:color w:val="auto"/>
          <w:szCs w:val="21"/>
          <w:highlight w:val="none"/>
        </w:rPr>
      </w:pPr>
    </w:p>
    <w:p>
      <w:pPr>
        <w:pStyle w:val="8"/>
        <w:spacing w:line="500" w:lineRule="exact"/>
        <w:rPr>
          <w:rFonts w:ascii="Times New Roman" w:hAnsi="Times New Roman" w:cs="Times New Roman"/>
          <w:color w:val="auto"/>
          <w:highlight w:val="none"/>
          <w:u w:val="single"/>
        </w:rPr>
      </w:pPr>
      <w:r>
        <w:rPr>
          <w:rFonts w:ascii="Times New Roman" w:hAnsi="Times New Roman" w:cs="Times New Roman"/>
          <w:color w:val="auto"/>
          <w:highlight w:val="none"/>
        </w:rPr>
        <w:t>法定代表人或法定代表人授权代表（签字）:</w:t>
      </w:r>
      <w:r>
        <w:rPr>
          <w:rFonts w:ascii="Times New Roman" w:hAnsi="Times New Roman" w:cs="Times New Roman"/>
          <w:color w:val="auto"/>
          <w:highlight w:val="none"/>
          <w:u w:val="single"/>
        </w:rPr>
        <w:t xml:space="preserve">              </w:t>
      </w:r>
    </w:p>
    <w:p>
      <w:pPr>
        <w:pStyle w:val="8"/>
        <w:spacing w:line="500" w:lineRule="exact"/>
        <w:rPr>
          <w:rFonts w:ascii="Times New Roman" w:hAnsi="Times New Roman" w:cs="Times New Roman"/>
          <w:color w:val="auto"/>
          <w:highlight w:val="none"/>
          <w:u w:val="single"/>
        </w:rPr>
      </w:pPr>
      <w:r>
        <w:rPr>
          <w:rFonts w:hint="eastAsia" w:ascii="Times New Roman" w:hAnsi="Times New Roman" w:cs="Times New Roman"/>
          <w:color w:val="auto"/>
          <w:highlight w:val="none"/>
        </w:rPr>
        <w:t>竞标人</w:t>
      </w:r>
      <w:r>
        <w:rPr>
          <w:rFonts w:ascii="Times New Roman" w:hAnsi="Times New Roman" w:cs="Times New Roman"/>
          <w:color w:val="auto"/>
          <w:highlight w:val="none"/>
        </w:rPr>
        <w:t>名称（签章）：</w:t>
      </w:r>
      <w:r>
        <w:rPr>
          <w:rFonts w:ascii="Times New Roman" w:hAnsi="Times New Roman" w:cs="Times New Roman"/>
          <w:color w:val="auto"/>
          <w:highlight w:val="none"/>
          <w:u w:val="single"/>
        </w:rPr>
        <w:t xml:space="preserve">       </w:t>
      </w:r>
    </w:p>
    <w:p>
      <w:pPr>
        <w:pStyle w:val="8"/>
        <w:spacing w:line="500" w:lineRule="exact"/>
        <w:rPr>
          <w:rFonts w:ascii="Times New Roman" w:hAnsi="Times New Roman" w:cs="Times New Roman"/>
          <w:color w:val="auto"/>
          <w:highlight w:val="none"/>
          <w:u w:val="single"/>
        </w:rPr>
      </w:pPr>
      <w:r>
        <w:rPr>
          <w:rFonts w:ascii="Times New Roman" w:hAnsi="Times New Roman" w:cs="Times New Roman"/>
          <w:color w:val="auto"/>
          <w:highlight w:val="none"/>
        </w:rPr>
        <w:t>报价时间：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日 </w:t>
      </w:r>
    </w:p>
    <w:p>
      <w:pPr>
        <w:adjustRightInd w:val="0"/>
        <w:snapToGrid w:val="0"/>
        <w:spacing w:line="300" w:lineRule="auto"/>
        <w:ind w:left="-88" w:leftChars="-42"/>
        <w:rPr>
          <w:color w:val="auto"/>
          <w:szCs w:val="21"/>
          <w:highlight w:val="none"/>
        </w:rPr>
      </w:pPr>
      <w:r>
        <w:rPr>
          <w:color w:val="auto"/>
          <w:szCs w:val="21"/>
          <w:highlight w:val="none"/>
        </w:rPr>
        <w:br w:type="page"/>
      </w:r>
    </w:p>
    <w:p>
      <w:pPr>
        <w:pStyle w:val="8"/>
        <w:spacing w:line="300" w:lineRule="auto"/>
        <w:rPr>
          <w:rFonts w:ascii="Times New Roman" w:hAnsi="Times New Roman" w:cs="Times New Roman"/>
          <w:color w:val="auto"/>
          <w:highlight w:val="none"/>
        </w:rPr>
      </w:pPr>
      <w:r>
        <w:rPr>
          <w:rFonts w:ascii="Times New Roman" w:hAnsi="Times New Roman" w:cs="Times New Roman"/>
          <w:color w:val="auto"/>
          <w:highlight w:val="none"/>
        </w:rPr>
        <w:t>附件三</w:t>
      </w:r>
    </w:p>
    <w:p>
      <w:pPr>
        <w:adjustRightInd w:val="0"/>
        <w:snapToGrid w:val="0"/>
        <w:spacing w:line="300" w:lineRule="auto"/>
        <w:ind w:left="-88" w:leftChars="-42"/>
        <w:jc w:val="center"/>
        <w:rPr>
          <w:color w:val="auto"/>
          <w:szCs w:val="21"/>
          <w:highlight w:val="none"/>
        </w:rPr>
      </w:pPr>
      <w:r>
        <w:rPr>
          <w:color w:val="auto"/>
          <w:szCs w:val="21"/>
          <w:highlight w:val="none"/>
        </w:rPr>
        <w:t>3.</w:t>
      </w:r>
      <w:r>
        <w:rPr>
          <w:rFonts w:hint="eastAsia"/>
          <w:color w:val="auto"/>
          <w:szCs w:val="21"/>
          <w:highlight w:val="none"/>
          <w:lang w:val="en-US" w:eastAsia="zh-CN"/>
        </w:rPr>
        <w:t>建设</w:t>
      </w:r>
      <w:r>
        <w:rPr>
          <w:rFonts w:hint="eastAsia"/>
          <w:color w:val="auto"/>
          <w:highlight w:val="none"/>
          <w:lang w:eastAsia="zh-CN"/>
        </w:rPr>
        <w:t>方案</w:t>
      </w:r>
      <w:r>
        <w:rPr>
          <w:color w:val="auto"/>
          <w:szCs w:val="21"/>
          <w:highlight w:val="none"/>
        </w:rPr>
        <w:t>（根据竞争性磋商采购文件中的要求或评分细则内容要求提供）</w:t>
      </w:r>
    </w:p>
    <w:p>
      <w:pPr>
        <w:spacing w:line="300" w:lineRule="auto"/>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pPr>
        <w:spacing w:line="300" w:lineRule="auto"/>
        <w:rPr>
          <w:color w:val="auto"/>
          <w:szCs w:val="21"/>
          <w:highlight w:val="none"/>
        </w:rPr>
      </w:pPr>
      <w:r>
        <w:rPr>
          <w:color w:val="auto"/>
          <w:szCs w:val="21"/>
          <w:highlight w:val="none"/>
        </w:rPr>
        <w:t>采购项目编号:</w:t>
      </w:r>
      <w:r>
        <w:rPr>
          <w:color w:val="auto"/>
          <w:szCs w:val="21"/>
          <w:highlight w:val="none"/>
          <w:u w:val="single"/>
        </w:rPr>
        <w:t xml:space="preserve">                 </w:t>
      </w:r>
      <w:r>
        <w:rPr>
          <w:color w:val="auto"/>
          <w:szCs w:val="21"/>
          <w:highlight w:val="none"/>
        </w:rPr>
        <w:t xml:space="preserve"> </w:t>
      </w: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spacing w:line="500" w:lineRule="exact"/>
        <w:ind w:firstLine="630" w:firstLineChars="300"/>
        <w:rPr>
          <w:color w:val="auto"/>
          <w:szCs w:val="21"/>
          <w:highlight w:val="none"/>
        </w:rPr>
      </w:pPr>
    </w:p>
    <w:p>
      <w:pPr>
        <w:adjustRightInd w:val="0"/>
        <w:snapToGrid w:val="0"/>
        <w:spacing w:line="500" w:lineRule="exact"/>
        <w:rPr>
          <w:color w:val="auto"/>
          <w:szCs w:val="21"/>
          <w:highlight w:val="none"/>
        </w:rPr>
      </w:pPr>
    </w:p>
    <w:p>
      <w:pPr>
        <w:adjustRightInd w:val="0"/>
        <w:snapToGrid w:val="0"/>
        <w:spacing w:line="500" w:lineRule="exact"/>
        <w:ind w:firstLine="1785" w:firstLineChars="850"/>
        <w:rPr>
          <w:color w:val="auto"/>
          <w:szCs w:val="21"/>
          <w:highlight w:val="none"/>
          <w:u w:val="single"/>
        </w:rPr>
      </w:pPr>
      <w:r>
        <w:rPr>
          <w:color w:val="auto"/>
          <w:szCs w:val="21"/>
          <w:highlight w:val="none"/>
        </w:rPr>
        <w:t>法定代表人或法定代表人授权代表签字：</w:t>
      </w:r>
      <w:r>
        <w:rPr>
          <w:color w:val="auto"/>
          <w:szCs w:val="21"/>
          <w:highlight w:val="none"/>
          <w:u w:val="single"/>
        </w:rPr>
        <w:t xml:space="preserve">              </w:t>
      </w:r>
    </w:p>
    <w:p>
      <w:pPr>
        <w:pStyle w:val="8"/>
        <w:spacing w:line="500" w:lineRule="exact"/>
        <w:ind w:firstLine="4935" w:firstLineChars="2350"/>
        <w:rPr>
          <w:rFonts w:ascii="Times New Roman" w:hAnsi="Times New Roman" w:cs="Times New Roman"/>
          <w:color w:val="auto"/>
          <w:highlight w:val="none"/>
          <w:u w:val="single"/>
        </w:rPr>
      </w:pP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adjustRightInd w:val="0"/>
        <w:snapToGrid w:val="0"/>
        <w:spacing w:line="300" w:lineRule="auto"/>
        <w:rPr>
          <w:color w:val="auto"/>
          <w:szCs w:val="21"/>
          <w:highlight w:val="none"/>
          <w:u w:val="singl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r>
        <w:rPr>
          <w:color w:val="auto"/>
          <w:szCs w:val="21"/>
          <w:highlight w:val="none"/>
        </w:rPr>
        <w:br w:type="page"/>
      </w:r>
    </w:p>
    <w:p>
      <w:pPr>
        <w:spacing w:line="300" w:lineRule="auto"/>
        <w:rPr>
          <w:color w:val="auto"/>
          <w:szCs w:val="21"/>
          <w:highlight w:val="none"/>
        </w:rPr>
      </w:pPr>
      <w:r>
        <w:rPr>
          <w:color w:val="auto"/>
          <w:szCs w:val="21"/>
          <w:highlight w:val="none"/>
        </w:rPr>
        <w:t>附件四</w:t>
      </w:r>
    </w:p>
    <w:p>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商务、技术响应、偏离情况说明表</w:t>
      </w:r>
    </w:p>
    <w:p>
      <w:pPr>
        <w:pStyle w:val="3"/>
        <w:rPr>
          <w:color w:val="auto"/>
          <w:highlight w:val="none"/>
        </w:rPr>
      </w:pPr>
    </w:p>
    <w:p>
      <w:pPr>
        <w:spacing w:line="300" w:lineRule="auto"/>
        <w:rPr>
          <w:color w:val="auto"/>
          <w:szCs w:val="21"/>
          <w:highlight w:val="none"/>
        </w:rPr>
      </w:pPr>
      <w:r>
        <w:rPr>
          <w:color w:val="auto"/>
          <w:szCs w:val="21"/>
          <w:highlight w:val="none"/>
        </w:rPr>
        <w:t>采购项目名称:</w:t>
      </w:r>
      <w:r>
        <w:rPr>
          <w:color w:val="auto"/>
          <w:szCs w:val="21"/>
          <w:highlight w:val="none"/>
          <w:u w:val="single"/>
        </w:rPr>
        <w:t xml:space="preserve">                 </w:t>
      </w:r>
      <w:r>
        <w:rPr>
          <w:color w:val="auto"/>
          <w:szCs w:val="21"/>
          <w:highlight w:val="none"/>
        </w:rPr>
        <w:t xml:space="preserve">    </w:t>
      </w:r>
    </w:p>
    <w:p>
      <w:pPr>
        <w:spacing w:line="300" w:lineRule="auto"/>
        <w:rPr>
          <w:color w:val="auto"/>
          <w:szCs w:val="21"/>
          <w:highlight w:val="none"/>
          <w:u w:val="single"/>
        </w:rPr>
      </w:pPr>
      <w:r>
        <w:rPr>
          <w:color w:val="auto"/>
          <w:szCs w:val="21"/>
          <w:highlight w:val="none"/>
        </w:rPr>
        <w:t>采购项目编号:</w:t>
      </w:r>
      <w:r>
        <w:rPr>
          <w:color w:val="auto"/>
          <w:szCs w:val="21"/>
          <w:highlight w:val="none"/>
          <w:u w:val="single"/>
        </w:rPr>
        <w:t xml:space="preserve">                 </w:t>
      </w:r>
    </w:p>
    <w:p>
      <w:pPr>
        <w:spacing w:line="300" w:lineRule="auto"/>
        <w:rPr>
          <w:color w:val="auto"/>
          <w:szCs w:val="21"/>
          <w:highlight w:val="none"/>
        </w:rPr>
      </w:pPr>
      <w:r>
        <w:rPr>
          <w:color w:val="auto"/>
          <w:szCs w:val="21"/>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600"/>
        <w:gridCol w:w="2944"/>
        <w:gridCol w:w="3087"/>
        <w:gridCol w:w="914"/>
        <w:gridCol w:w="7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77" w:type="dxa"/>
            <w:gridSpan w:val="6"/>
            <w:noWrap w:val="0"/>
            <w:vAlign w:val="top"/>
          </w:tcPr>
          <w:p>
            <w:pPr>
              <w:adjustRightInd w:val="0"/>
              <w:snapToGrid w:val="0"/>
              <w:spacing w:line="300" w:lineRule="auto"/>
              <w:jc w:val="center"/>
              <w:rPr>
                <w:b/>
                <w:color w:val="auto"/>
                <w:szCs w:val="21"/>
                <w:highlight w:val="none"/>
              </w:rPr>
            </w:pPr>
            <w:bookmarkStart w:id="51" w:name="_Toc479693561"/>
            <w:r>
              <w:rPr>
                <w:b/>
                <w:color w:val="auto"/>
                <w:szCs w:val="21"/>
                <w:highlight w:val="none"/>
              </w:rPr>
              <w:t>商务部分</w:t>
            </w:r>
            <w:bookmarkEnd w:id="5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pPr>
              <w:jc w:val="center"/>
              <w:rPr>
                <w:color w:val="auto"/>
                <w:highlight w:val="none"/>
              </w:rPr>
            </w:pPr>
            <w:r>
              <w:rPr>
                <w:color w:val="auto"/>
                <w:highlight w:val="none"/>
              </w:rPr>
              <w:t>序号</w:t>
            </w:r>
          </w:p>
        </w:tc>
        <w:tc>
          <w:tcPr>
            <w:tcW w:w="1600" w:type="dxa"/>
            <w:noWrap w:val="0"/>
            <w:vAlign w:val="center"/>
          </w:tcPr>
          <w:p>
            <w:pPr>
              <w:adjustRightInd w:val="0"/>
              <w:snapToGrid w:val="0"/>
              <w:spacing w:line="300" w:lineRule="auto"/>
              <w:jc w:val="center"/>
              <w:rPr>
                <w:color w:val="auto"/>
                <w:szCs w:val="21"/>
                <w:highlight w:val="none"/>
              </w:rPr>
            </w:pPr>
            <w:r>
              <w:rPr>
                <w:color w:val="auto"/>
                <w:szCs w:val="21"/>
                <w:highlight w:val="none"/>
              </w:rPr>
              <w:t>事项</w:t>
            </w:r>
          </w:p>
        </w:tc>
        <w:tc>
          <w:tcPr>
            <w:tcW w:w="2944" w:type="dxa"/>
            <w:noWrap w:val="0"/>
            <w:vAlign w:val="center"/>
          </w:tcPr>
          <w:p>
            <w:pPr>
              <w:adjustRightInd w:val="0"/>
              <w:snapToGrid w:val="0"/>
              <w:spacing w:line="300" w:lineRule="auto"/>
              <w:jc w:val="center"/>
              <w:rPr>
                <w:color w:val="auto"/>
                <w:szCs w:val="21"/>
                <w:highlight w:val="none"/>
              </w:rPr>
            </w:pPr>
            <w:bookmarkStart w:id="52" w:name="_Toc479693557"/>
            <w:r>
              <w:rPr>
                <w:color w:val="auto"/>
                <w:szCs w:val="21"/>
                <w:highlight w:val="none"/>
              </w:rPr>
              <w:t>竞争性磋商文件要求</w:t>
            </w:r>
            <w:bookmarkEnd w:id="52"/>
          </w:p>
        </w:tc>
        <w:tc>
          <w:tcPr>
            <w:tcW w:w="3087" w:type="dxa"/>
            <w:noWrap w:val="0"/>
            <w:vAlign w:val="center"/>
          </w:tcPr>
          <w:p>
            <w:pPr>
              <w:adjustRightInd w:val="0"/>
              <w:snapToGrid w:val="0"/>
              <w:spacing w:line="300" w:lineRule="auto"/>
              <w:jc w:val="center"/>
              <w:rPr>
                <w:color w:val="auto"/>
                <w:szCs w:val="21"/>
                <w:highlight w:val="none"/>
              </w:rPr>
            </w:pPr>
            <w:bookmarkStart w:id="53" w:name="_Toc479693558"/>
            <w:r>
              <w:rPr>
                <w:color w:val="auto"/>
                <w:szCs w:val="21"/>
                <w:highlight w:val="none"/>
              </w:rPr>
              <w:t>竞争性磋商响应文件具体响应</w:t>
            </w:r>
            <w:bookmarkEnd w:id="53"/>
          </w:p>
        </w:tc>
        <w:tc>
          <w:tcPr>
            <w:tcW w:w="914" w:type="dxa"/>
            <w:noWrap w:val="0"/>
            <w:vAlign w:val="center"/>
          </w:tcPr>
          <w:p>
            <w:pPr>
              <w:adjustRightInd w:val="0"/>
              <w:snapToGrid w:val="0"/>
              <w:spacing w:line="300" w:lineRule="auto"/>
              <w:jc w:val="center"/>
              <w:rPr>
                <w:color w:val="auto"/>
                <w:szCs w:val="21"/>
                <w:highlight w:val="none"/>
              </w:rPr>
            </w:pPr>
            <w:bookmarkStart w:id="54" w:name="_Toc479693559"/>
            <w:r>
              <w:rPr>
                <w:color w:val="auto"/>
                <w:szCs w:val="21"/>
                <w:highlight w:val="none"/>
              </w:rPr>
              <w:t>响应/偏离</w:t>
            </w:r>
            <w:bookmarkEnd w:id="54"/>
          </w:p>
        </w:tc>
        <w:tc>
          <w:tcPr>
            <w:tcW w:w="797" w:type="dxa"/>
            <w:noWrap w:val="0"/>
            <w:vAlign w:val="center"/>
          </w:tcPr>
          <w:p>
            <w:pPr>
              <w:adjustRightInd w:val="0"/>
              <w:snapToGrid w:val="0"/>
              <w:spacing w:line="300" w:lineRule="auto"/>
              <w:jc w:val="center"/>
              <w:rPr>
                <w:color w:val="auto"/>
                <w:szCs w:val="21"/>
                <w:highlight w:val="none"/>
              </w:rPr>
            </w:pPr>
            <w:bookmarkStart w:id="55" w:name="_Toc479693560"/>
            <w:r>
              <w:rPr>
                <w:color w:val="auto"/>
                <w:szCs w:val="21"/>
                <w:highlight w:val="none"/>
              </w:rPr>
              <w:t>说明</w:t>
            </w:r>
            <w:bookmarkEnd w:id="5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noWrap w:val="0"/>
            <w:vAlign w:val="center"/>
          </w:tcPr>
          <w:p>
            <w:pPr>
              <w:adjustRightInd w:val="0"/>
              <w:snapToGrid w:val="0"/>
              <w:spacing w:line="300" w:lineRule="auto"/>
              <w:jc w:val="center"/>
              <w:rPr>
                <w:color w:val="auto"/>
                <w:szCs w:val="21"/>
                <w:highlight w:val="none"/>
              </w:rPr>
            </w:pPr>
            <w:r>
              <w:rPr>
                <w:color w:val="auto"/>
                <w:szCs w:val="21"/>
                <w:highlight w:val="none"/>
              </w:rPr>
              <w:t>1</w:t>
            </w:r>
          </w:p>
        </w:tc>
        <w:tc>
          <w:tcPr>
            <w:tcW w:w="1600" w:type="dxa"/>
            <w:noWrap w:val="0"/>
            <w:vAlign w:val="center"/>
          </w:tcPr>
          <w:p>
            <w:pPr>
              <w:tabs>
                <w:tab w:val="left" w:pos="180"/>
                <w:tab w:val="left" w:pos="1620"/>
              </w:tabs>
              <w:spacing w:line="400" w:lineRule="exact"/>
              <w:rPr>
                <w:color w:val="auto"/>
                <w:szCs w:val="21"/>
                <w:highlight w:val="none"/>
              </w:rPr>
            </w:pPr>
          </w:p>
        </w:tc>
        <w:tc>
          <w:tcPr>
            <w:tcW w:w="2944" w:type="dxa"/>
            <w:noWrap w:val="0"/>
            <w:vAlign w:val="center"/>
          </w:tcPr>
          <w:p>
            <w:pPr>
              <w:adjustRightInd w:val="0"/>
              <w:snapToGrid w:val="0"/>
              <w:spacing w:line="300" w:lineRule="auto"/>
              <w:jc w:val="left"/>
              <w:rPr>
                <w:color w:val="auto"/>
                <w:szCs w:val="21"/>
                <w:highlight w:val="none"/>
              </w:rPr>
            </w:pPr>
          </w:p>
        </w:tc>
        <w:tc>
          <w:tcPr>
            <w:tcW w:w="3087" w:type="dxa"/>
            <w:noWrap w:val="0"/>
            <w:vAlign w:val="center"/>
          </w:tcPr>
          <w:p>
            <w:pPr>
              <w:adjustRightInd w:val="0"/>
              <w:snapToGrid w:val="0"/>
              <w:spacing w:line="300" w:lineRule="auto"/>
              <w:jc w:val="center"/>
              <w:rPr>
                <w:color w:val="auto"/>
                <w:szCs w:val="21"/>
                <w:highlight w:val="none"/>
              </w:rPr>
            </w:pPr>
          </w:p>
        </w:tc>
        <w:tc>
          <w:tcPr>
            <w:tcW w:w="914" w:type="dxa"/>
            <w:noWrap w:val="0"/>
            <w:vAlign w:val="center"/>
          </w:tcPr>
          <w:p>
            <w:pPr>
              <w:adjustRightInd w:val="0"/>
              <w:snapToGrid w:val="0"/>
              <w:spacing w:line="300" w:lineRule="auto"/>
              <w:jc w:val="center"/>
              <w:rPr>
                <w:color w:val="auto"/>
                <w:szCs w:val="21"/>
                <w:highlight w:val="none"/>
              </w:rPr>
            </w:pPr>
            <w:r>
              <w:rPr>
                <w:color w:val="auto"/>
                <w:szCs w:val="21"/>
                <w:highlight w:val="none"/>
              </w:rPr>
              <w:t>响应</w:t>
            </w:r>
          </w:p>
        </w:tc>
        <w:tc>
          <w:tcPr>
            <w:tcW w:w="797" w:type="dxa"/>
            <w:noWrap w:val="0"/>
            <w:vAlign w:val="center"/>
          </w:tcPr>
          <w:p>
            <w:pPr>
              <w:adjustRightInd w:val="0"/>
              <w:snapToGrid w:val="0"/>
              <w:spacing w:line="30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pPr>
              <w:adjustRightInd w:val="0"/>
              <w:snapToGrid w:val="0"/>
              <w:spacing w:line="300" w:lineRule="auto"/>
              <w:jc w:val="center"/>
              <w:rPr>
                <w:color w:val="auto"/>
                <w:szCs w:val="21"/>
                <w:highlight w:val="none"/>
              </w:rPr>
            </w:pPr>
          </w:p>
        </w:tc>
        <w:tc>
          <w:tcPr>
            <w:tcW w:w="1600" w:type="dxa"/>
            <w:noWrap w:val="0"/>
            <w:vAlign w:val="center"/>
          </w:tcPr>
          <w:p>
            <w:pPr>
              <w:spacing w:line="400" w:lineRule="exact"/>
              <w:rPr>
                <w:color w:val="auto"/>
                <w:szCs w:val="21"/>
                <w:highlight w:val="none"/>
              </w:rPr>
            </w:pPr>
          </w:p>
        </w:tc>
        <w:tc>
          <w:tcPr>
            <w:tcW w:w="2944" w:type="dxa"/>
            <w:noWrap w:val="0"/>
            <w:vAlign w:val="center"/>
          </w:tcPr>
          <w:p>
            <w:pPr>
              <w:adjustRightInd w:val="0"/>
              <w:snapToGrid w:val="0"/>
              <w:spacing w:line="300" w:lineRule="auto"/>
              <w:jc w:val="left"/>
              <w:rPr>
                <w:color w:val="auto"/>
                <w:szCs w:val="21"/>
                <w:highlight w:val="none"/>
              </w:rPr>
            </w:pPr>
          </w:p>
        </w:tc>
        <w:tc>
          <w:tcPr>
            <w:tcW w:w="3087" w:type="dxa"/>
            <w:noWrap w:val="0"/>
            <w:vAlign w:val="center"/>
          </w:tcPr>
          <w:p>
            <w:pPr>
              <w:adjustRightInd w:val="0"/>
              <w:snapToGrid w:val="0"/>
              <w:spacing w:line="300" w:lineRule="auto"/>
              <w:jc w:val="center"/>
              <w:rPr>
                <w:color w:val="auto"/>
                <w:szCs w:val="21"/>
                <w:highlight w:val="none"/>
              </w:rPr>
            </w:pPr>
          </w:p>
        </w:tc>
        <w:tc>
          <w:tcPr>
            <w:tcW w:w="914" w:type="dxa"/>
            <w:noWrap w:val="0"/>
            <w:vAlign w:val="center"/>
          </w:tcPr>
          <w:p>
            <w:pPr>
              <w:adjustRightInd w:val="0"/>
              <w:snapToGrid w:val="0"/>
              <w:spacing w:line="300" w:lineRule="auto"/>
              <w:jc w:val="center"/>
              <w:rPr>
                <w:color w:val="auto"/>
                <w:szCs w:val="21"/>
                <w:highlight w:val="none"/>
              </w:rPr>
            </w:pPr>
          </w:p>
        </w:tc>
        <w:tc>
          <w:tcPr>
            <w:tcW w:w="797" w:type="dxa"/>
            <w:noWrap w:val="0"/>
            <w:vAlign w:val="center"/>
          </w:tcPr>
          <w:p>
            <w:pPr>
              <w:adjustRightInd w:val="0"/>
              <w:snapToGrid w:val="0"/>
              <w:spacing w:line="30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pPr>
              <w:adjustRightInd w:val="0"/>
              <w:snapToGrid w:val="0"/>
              <w:spacing w:line="300" w:lineRule="auto"/>
              <w:jc w:val="center"/>
              <w:rPr>
                <w:color w:val="auto"/>
                <w:szCs w:val="21"/>
                <w:highlight w:val="none"/>
              </w:rPr>
            </w:pPr>
          </w:p>
        </w:tc>
        <w:tc>
          <w:tcPr>
            <w:tcW w:w="1600" w:type="dxa"/>
            <w:noWrap w:val="0"/>
            <w:vAlign w:val="center"/>
          </w:tcPr>
          <w:p>
            <w:pPr>
              <w:spacing w:line="400" w:lineRule="exact"/>
              <w:rPr>
                <w:color w:val="auto"/>
                <w:szCs w:val="21"/>
                <w:highlight w:val="none"/>
              </w:rPr>
            </w:pPr>
          </w:p>
        </w:tc>
        <w:tc>
          <w:tcPr>
            <w:tcW w:w="2944" w:type="dxa"/>
            <w:noWrap w:val="0"/>
            <w:vAlign w:val="center"/>
          </w:tcPr>
          <w:p>
            <w:pPr>
              <w:adjustRightInd w:val="0"/>
              <w:snapToGrid w:val="0"/>
              <w:spacing w:line="300" w:lineRule="auto"/>
              <w:jc w:val="left"/>
              <w:rPr>
                <w:color w:val="auto"/>
                <w:szCs w:val="21"/>
                <w:highlight w:val="none"/>
              </w:rPr>
            </w:pPr>
          </w:p>
        </w:tc>
        <w:tc>
          <w:tcPr>
            <w:tcW w:w="3087" w:type="dxa"/>
            <w:noWrap w:val="0"/>
            <w:vAlign w:val="center"/>
          </w:tcPr>
          <w:p>
            <w:pPr>
              <w:adjustRightInd w:val="0"/>
              <w:snapToGrid w:val="0"/>
              <w:spacing w:line="300" w:lineRule="auto"/>
              <w:jc w:val="center"/>
              <w:rPr>
                <w:color w:val="auto"/>
                <w:szCs w:val="21"/>
                <w:highlight w:val="none"/>
              </w:rPr>
            </w:pPr>
          </w:p>
        </w:tc>
        <w:tc>
          <w:tcPr>
            <w:tcW w:w="914" w:type="dxa"/>
            <w:noWrap w:val="0"/>
            <w:vAlign w:val="center"/>
          </w:tcPr>
          <w:p>
            <w:pPr>
              <w:adjustRightInd w:val="0"/>
              <w:snapToGrid w:val="0"/>
              <w:spacing w:line="300" w:lineRule="auto"/>
              <w:jc w:val="center"/>
              <w:rPr>
                <w:color w:val="auto"/>
                <w:szCs w:val="21"/>
                <w:highlight w:val="none"/>
              </w:rPr>
            </w:pPr>
          </w:p>
        </w:tc>
        <w:tc>
          <w:tcPr>
            <w:tcW w:w="797" w:type="dxa"/>
            <w:noWrap w:val="0"/>
            <w:vAlign w:val="center"/>
          </w:tcPr>
          <w:p>
            <w:pPr>
              <w:adjustRightInd w:val="0"/>
              <w:snapToGrid w:val="0"/>
              <w:spacing w:line="30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pPr>
              <w:adjustRightInd w:val="0"/>
              <w:snapToGrid w:val="0"/>
              <w:spacing w:line="300" w:lineRule="auto"/>
              <w:jc w:val="center"/>
              <w:rPr>
                <w:color w:val="auto"/>
                <w:szCs w:val="21"/>
                <w:highlight w:val="none"/>
              </w:rPr>
            </w:pPr>
          </w:p>
        </w:tc>
        <w:tc>
          <w:tcPr>
            <w:tcW w:w="1600" w:type="dxa"/>
            <w:noWrap w:val="0"/>
            <w:vAlign w:val="center"/>
          </w:tcPr>
          <w:p>
            <w:pPr>
              <w:adjustRightInd w:val="0"/>
              <w:snapToGrid w:val="0"/>
              <w:spacing w:line="300" w:lineRule="auto"/>
              <w:rPr>
                <w:color w:val="auto"/>
                <w:highlight w:val="none"/>
              </w:rPr>
            </w:pPr>
          </w:p>
        </w:tc>
        <w:tc>
          <w:tcPr>
            <w:tcW w:w="2944" w:type="dxa"/>
            <w:noWrap w:val="0"/>
            <w:vAlign w:val="center"/>
          </w:tcPr>
          <w:p>
            <w:pPr>
              <w:adjustRightInd w:val="0"/>
              <w:snapToGrid w:val="0"/>
              <w:spacing w:line="300" w:lineRule="auto"/>
              <w:jc w:val="left"/>
              <w:rPr>
                <w:color w:val="auto"/>
                <w:highlight w:val="none"/>
              </w:rPr>
            </w:pPr>
          </w:p>
        </w:tc>
        <w:tc>
          <w:tcPr>
            <w:tcW w:w="3087" w:type="dxa"/>
            <w:noWrap w:val="0"/>
            <w:vAlign w:val="center"/>
          </w:tcPr>
          <w:p>
            <w:pPr>
              <w:adjustRightInd w:val="0"/>
              <w:snapToGrid w:val="0"/>
              <w:spacing w:line="300" w:lineRule="auto"/>
              <w:jc w:val="center"/>
              <w:rPr>
                <w:color w:val="auto"/>
                <w:szCs w:val="21"/>
                <w:highlight w:val="none"/>
              </w:rPr>
            </w:pPr>
          </w:p>
        </w:tc>
        <w:tc>
          <w:tcPr>
            <w:tcW w:w="914" w:type="dxa"/>
            <w:noWrap w:val="0"/>
            <w:vAlign w:val="center"/>
          </w:tcPr>
          <w:p>
            <w:pPr>
              <w:adjustRightInd w:val="0"/>
              <w:snapToGrid w:val="0"/>
              <w:spacing w:line="300" w:lineRule="auto"/>
              <w:jc w:val="center"/>
              <w:rPr>
                <w:color w:val="auto"/>
                <w:szCs w:val="21"/>
                <w:highlight w:val="none"/>
              </w:rPr>
            </w:pPr>
          </w:p>
        </w:tc>
        <w:tc>
          <w:tcPr>
            <w:tcW w:w="797" w:type="dxa"/>
            <w:noWrap w:val="0"/>
            <w:vAlign w:val="center"/>
          </w:tcPr>
          <w:p>
            <w:pPr>
              <w:adjustRightInd w:val="0"/>
              <w:snapToGrid w:val="0"/>
              <w:spacing w:line="30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noWrap w:val="0"/>
            <w:vAlign w:val="center"/>
          </w:tcPr>
          <w:p>
            <w:pPr>
              <w:adjustRightInd w:val="0"/>
              <w:snapToGrid w:val="0"/>
              <w:spacing w:line="300" w:lineRule="auto"/>
              <w:jc w:val="center"/>
              <w:rPr>
                <w:color w:val="auto"/>
                <w:szCs w:val="21"/>
                <w:highlight w:val="none"/>
              </w:rPr>
            </w:pPr>
            <w:r>
              <w:rPr>
                <w:color w:val="auto"/>
                <w:szCs w:val="21"/>
                <w:highlight w:val="none"/>
              </w:rPr>
              <w:t>…</w:t>
            </w:r>
          </w:p>
        </w:tc>
        <w:tc>
          <w:tcPr>
            <w:tcW w:w="1600" w:type="dxa"/>
            <w:noWrap w:val="0"/>
            <w:vAlign w:val="center"/>
          </w:tcPr>
          <w:p>
            <w:pPr>
              <w:adjustRightInd w:val="0"/>
              <w:snapToGrid w:val="0"/>
              <w:spacing w:line="300" w:lineRule="auto"/>
              <w:jc w:val="center"/>
              <w:rPr>
                <w:color w:val="auto"/>
                <w:highlight w:val="none"/>
              </w:rPr>
            </w:pPr>
            <w:r>
              <w:rPr>
                <w:color w:val="auto"/>
                <w:highlight w:val="none"/>
              </w:rPr>
              <w:t>…</w:t>
            </w:r>
          </w:p>
        </w:tc>
        <w:tc>
          <w:tcPr>
            <w:tcW w:w="2944" w:type="dxa"/>
            <w:noWrap w:val="0"/>
            <w:vAlign w:val="center"/>
          </w:tcPr>
          <w:p>
            <w:pPr>
              <w:adjustRightInd w:val="0"/>
              <w:snapToGrid w:val="0"/>
              <w:spacing w:line="300" w:lineRule="auto"/>
              <w:jc w:val="center"/>
              <w:rPr>
                <w:color w:val="auto"/>
                <w:szCs w:val="21"/>
                <w:highlight w:val="none"/>
              </w:rPr>
            </w:pPr>
            <w:r>
              <w:rPr>
                <w:color w:val="auto"/>
                <w:szCs w:val="21"/>
                <w:highlight w:val="none"/>
              </w:rPr>
              <w:t>…</w:t>
            </w:r>
          </w:p>
        </w:tc>
        <w:tc>
          <w:tcPr>
            <w:tcW w:w="3087" w:type="dxa"/>
            <w:noWrap w:val="0"/>
            <w:vAlign w:val="center"/>
          </w:tcPr>
          <w:p>
            <w:pPr>
              <w:adjustRightInd w:val="0"/>
              <w:snapToGrid w:val="0"/>
              <w:spacing w:line="300" w:lineRule="auto"/>
              <w:jc w:val="center"/>
              <w:rPr>
                <w:color w:val="auto"/>
                <w:highlight w:val="none"/>
              </w:rPr>
            </w:pPr>
            <w:r>
              <w:rPr>
                <w:color w:val="auto"/>
                <w:highlight w:val="none"/>
              </w:rPr>
              <w:t>…</w:t>
            </w:r>
          </w:p>
        </w:tc>
        <w:tc>
          <w:tcPr>
            <w:tcW w:w="914" w:type="dxa"/>
            <w:noWrap w:val="0"/>
            <w:vAlign w:val="center"/>
          </w:tcPr>
          <w:p>
            <w:pPr>
              <w:adjustRightInd w:val="0"/>
              <w:snapToGrid w:val="0"/>
              <w:spacing w:line="300" w:lineRule="auto"/>
              <w:jc w:val="center"/>
              <w:rPr>
                <w:color w:val="auto"/>
                <w:szCs w:val="21"/>
                <w:highlight w:val="none"/>
              </w:rPr>
            </w:pPr>
            <w:r>
              <w:rPr>
                <w:color w:val="auto"/>
                <w:szCs w:val="21"/>
                <w:highlight w:val="none"/>
              </w:rPr>
              <w:t>…</w:t>
            </w:r>
          </w:p>
        </w:tc>
        <w:tc>
          <w:tcPr>
            <w:tcW w:w="797" w:type="dxa"/>
            <w:noWrap w:val="0"/>
            <w:vAlign w:val="center"/>
          </w:tcPr>
          <w:p>
            <w:pPr>
              <w:adjustRightInd w:val="0"/>
              <w:snapToGrid w:val="0"/>
              <w:spacing w:line="300" w:lineRule="auto"/>
              <w:jc w:val="center"/>
              <w:rPr>
                <w:color w:val="auto"/>
                <w:highlight w:val="none"/>
              </w:rPr>
            </w:pPr>
            <w:r>
              <w:rPr>
                <w:color w:val="auto"/>
                <w:highlight w:val="none"/>
              </w:rPr>
              <w:t>…</w:t>
            </w:r>
          </w:p>
        </w:tc>
      </w:tr>
    </w:tbl>
    <w:p>
      <w:pPr>
        <w:pStyle w:val="19"/>
        <w:adjustRightInd w:val="0"/>
        <w:snapToGrid w:val="0"/>
        <w:spacing w:line="240" w:lineRule="exact"/>
        <w:ind w:firstLine="420"/>
        <w:rPr>
          <w:rFonts w:ascii="Times New Roman" w:hAnsi="Times New Roman"/>
          <w:color w:val="auto"/>
          <w:sz w:val="21"/>
          <w:szCs w:val="21"/>
          <w:highlight w:val="none"/>
        </w:rPr>
      </w:pPr>
    </w:p>
    <w:p>
      <w:pPr>
        <w:pStyle w:val="19"/>
        <w:adjustRightInd w:val="0"/>
        <w:snapToGrid w:val="0"/>
        <w:spacing w:line="240" w:lineRule="exact"/>
        <w:ind w:firstLine="420"/>
        <w:rPr>
          <w:rFonts w:ascii="Times New Roman" w:hAnsi="Times New Roman"/>
          <w:color w:val="auto"/>
          <w:sz w:val="21"/>
          <w:szCs w:val="21"/>
          <w:highlight w:val="none"/>
        </w:rPr>
      </w:pPr>
    </w:p>
    <w:p>
      <w:pPr>
        <w:pStyle w:val="19"/>
        <w:adjustRightInd w:val="0"/>
        <w:snapToGrid w:val="0"/>
        <w:spacing w:line="240" w:lineRule="exact"/>
        <w:ind w:firstLine="420"/>
        <w:rPr>
          <w:rFonts w:ascii="Times New Roman" w:hAnsi="Times New Roman"/>
          <w:color w:val="auto"/>
          <w:sz w:val="21"/>
          <w:szCs w:val="21"/>
          <w:highlight w:val="none"/>
        </w:rPr>
      </w:pPr>
    </w:p>
    <w:p>
      <w:pPr>
        <w:pStyle w:val="19"/>
        <w:adjustRightInd w:val="0"/>
        <w:snapToGrid w:val="0"/>
        <w:spacing w:line="240" w:lineRule="exact"/>
        <w:ind w:firstLine="0" w:firstLineChars="0"/>
        <w:rPr>
          <w:rFonts w:ascii="Times New Roman" w:hAnsi="Times New Roman"/>
          <w:color w:val="auto"/>
          <w:sz w:val="21"/>
          <w:szCs w:val="21"/>
          <w:highlight w:val="none"/>
        </w:rPr>
      </w:pPr>
    </w:p>
    <w:p>
      <w:pPr>
        <w:pStyle w:val="19"/>
        <w:adjustRightInd w:val="0"/>
        <w:snapToGrid w:val="0"/>
        <w:spacing w:line="240" w:lineRule="exact"/>
        <w:ind w:firstLine="420"/>
        <w:rPr>
          <w:rFonts w:ascii="Times New Roman" w:hAnsi="Times New Roman"/>
          <w:color w:val="auto"/>
          <w:sz w:val="21"/>
          <w:szCs w:val="21"/>
          <w:highlight w:val="none"/>
        </w:rPr>
      </w:pPr>
    </w:p>
    <w:p>
      <w:pPr>
        <w:pStyle w:val="19"/>
        <w:adjustRightInd w:val="0"/>
        <w:snapToGrid w:val="0"/>
        <w:spacing w:line="240" w:lineRule="exact"/>
        <w:ind w:firstLine="420"/>
        <w:rPr>
          <w:rFonts w:ascii="Times New Roman" w:hAnsi="Times New Roman"/>
          <w:color w:val="auto"/>
          <w:sz w:val="21"/>
          <w:szCs w:val="21"/>
          <w:highlight w:val="none"/>
        </w:rPr>
      </w:pPr>
    </w:p>
    <w:p>
      <w:pPr>
        <w:pStyle w:val="19"/>
        <w:adjustRightInd w:val="0"/>
        <w:snapToGrid w:val="0"/>
        <w:spacing w:line="240" w:lineRule="exact"/>
        <w:ind w:firstLine="420"/>
        <w:rPr>
          <w:rFonts w:ascii="Times New Roman" w:hAnsi="Times New Roman"/>
          <w:color w:val="auto"/>
          <w:sz w:val="21"/>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134"/>
        <w:gridCol w:w="3260"/>
        <w:gridCol w:w="3260"/>
        <w:gridCol w:w="840"/>
        <w:gridCol w:w="7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750" w:type="dxa"/>
            <w:gridSpan w:val="6"/>
            <w:noWrap w:val="0"/>
            <w:vAlign w:val="center"/>
          </w:tcPr>
          <w:p>
            <w:pPr>
              <w:adjustRightInd w:val="0"/>
              <w:snapToGrid w:val="0"/>
              <w:spacing w:line="300" w:lineRule="exact"/>
              <w:ind w:left="0" w:leftChars="-118" w:hanging="248" w:hangingChars="118"/>
              <w:jc w:val="center"/>
              <w:rPr>
                <w:b/>
                <w:color w:val="auto"/>
                <w:szCs w:val="21"/>
                <w:highlight w:val="none"/>
              </w:rPr>
            </w:pPr>
            <w:r>
              <w:rPr>
                <w:b/>
                <w:color w:val="auto"/>
                <w:szCs w:val="21"/>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pPr>
              <w:adjustRightInd w:val="0"/>
              <w:snapToGrid w:val="0"/>
              <w:spacing w:line="300" w:lineRule="exact"/>
              <w:jc w:val="center"/>
              <w:rPr>
                <w:color w:val="auto"/>
                <w:szCs w:val="21"/>
                <w:highlight w:val="none"/>
              </w:rPr>
            </w:pPr>
            <w:r>
              <w:rPr>
                <w:color w:val="auto"/>
                <w:szCs w:val="21"/>
                <w:highlight w:val="none"/>
              </w:rPr>
              <w:t>序号</w:t>
            </w:r>
          </w:p>
        </w:tc>
        <w:tc>
          <w:tcPr>
            <w:tcW w:w="1134" w:type="dxa"/>
            <w:noWrap w:val="0"/>
            <w:vAlign w:val="center"/>
          </w:tcPr>
          <w:p>
            <w:pPr>
              <w:adjustRightInd w:val="0"/>
              <w:snapToGrid w:val="0"/>
              <w:spacing w:line="300" w:lineRule="exact"/>
              <w:jc w:val="center"/>
              <w:rPr>
                <w:color w:val="auto"/>
                <w:szCs w:val="21"/>
                <w:highlight w:val="none"/>
              </w:rPr>
            </w:pPr>
            <w:r>
              <w:rPr>
                <w:color w:val="auto"/>
                <w:szCs w:val="21"/>
                <w:highlight w:val="none"/>
              </w:rPr>
              <w:t>名称</w:t>
            </w:r>
          </w:p>
        </w:tc>
        <w:tc>
          <w:tcPr>
            <w:tcW w:w="3260" w:type="dxa"/>
            <w:noWrap w:val="0"/>
            <w:vAlign w:val="center"/>
          </w:tcPr>
          <w:p>
            <w:pPr>
              <w:adjustRightInd w:val="0"/>
              <w:snapToGrid w:val="0"/>
              <w:spacing w:line="300" w:lineRule="exact"/>
              <w:jc w:val="center"/>
              <w:rPr>
                <w:color w:val="auto"/>
                <w:szCs w:val="21"/>
                <w:highlight w:val="none"/>
              </w:rPr>
            </w:pPr>
            <w:r>
              <w:rPr>
                <w:color w:val="auto"/>
                <w:szCs w:val="21"/>
                <w:highlight w:val="none"/>
              </w:rPr>
              <w:t>竞争性磋商文件要求</w:t>
            </w:r>
          </w:p>
          <w:p>
            <w:pPr>
              <w:adjustRightInd w:val="0"/>
              <w:snapToGrid w:val="0"/>
              <w:spacing w:line="300" w:lineRule="exact"/>
              <w:jc w:val="center"/>
              <w:rPr>
                <w:color w:val="auto"/>
                <w:szCs w:val="21"/>
                <w:highlight w:val="none"/>
              </w:rPr>
            </w:pPr>
            <w:r>
              <w:rPr>
                <w:color w:val="auto"/>
                <w:szCs w:val="21"/>
                <w:highlight w:val="none"/>
              </w:rPr>
              <w:t>（技术参数需求及服务要求）</w:t>
            </w:r>
          </w:p>
        </w:tc>
        <w:tc>
          <w:tcPr>
            <w:tcW w:w="3260" w:type="dxa"/>
            <w:noWrap w:val="0"/>
            <w:vAlign w:val="center"/>
          </w:tcPr>
          <w:p>
            <w:pPr>
              <w:adjustRightInd w:val="0"/>
              <w:snapToGrid w:val="0"/>
              <w:spacing w:line="300" w:lineRule="exact"/>
              <w:jc w:val="center"/>
              <w:rPr>
                <w:color w:val="auto"/>
                <w:szCs w:val="21"/>
                <w:highlight w:val="none"/>
              </w:rPr>
            </w:pPr>
            <w:r>
              <w:rPr>
                <w:color w:val="auto"/>
                <w:szCs w:val="21"/>
                <w:highlight w:val="none"/>
              </w:rPr>
              <w:t>竞争性磋商响应文件的具体技术参数响应</w:t>
            </w:r>
          </w:p>
        </w:tc>
        <w:tc>
          <w:tcPr>
            <w:tcW w:w="840" w:type="dxa"/>
            <w:noWrap w:val="0"/>
            <w:vAlign w:val="center"/>
          </w:tcPr>
          <w:p>
            <w:pPr>
              <w:adjustRightInd w:val="0"/>
              <w:snapToGrid w:val="0"/>
              <w:spacing w:line="300" w:lineRule="exact"/>
              <w:jc w:val="center"/>
              <w:rPr>
                <w:color w:val="auto"/>
                <w:szCs w:val="21"/>
                <w:highlight w:val="none"/>
              </w:rPr>
            </w:pPr>
            <w:r>
              <w:rPr>
                <w:color w:val="auto"/>
                <w:szCs w:val="21"/>
                <w:highlight w:val="none"/>
              </w:rPr>
              <w:t>响应/偏离</w:t>
            </w:r>
          </w:p>
        </w:tc>
        <w:tc>
          <w:tcPr>
            <w:tcW w:w="722" w:type="dxa"/>
            <w:noWrap w:val="0"/>
            <w:vAlign w:val="center"/>
          </w:tcPr>
          <w:p>
            <w:pPr>
              <w:adjustRightInd w:val="0"/>
              <w:snapToGrid w:val="0"/>
              <w:spacing w:line="300" w:lineRule="exact"/>
              <w:ind w:leftChars="-118" w:hanging="247" w:hangingChars="118"/>
              <w:jc w:val="center"/>
              <w:rPr>
                <w:color w:val="auto"/>
                <w:szCs w:val="21"/>
                <w:highlight w:val="none"/>
              </w:rPr>
            </w:pPr>
            <w:r>
              <w:rPr>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pPr>
              <w:adjustRightInd w:val="0"/>
              <w:snapToGrid w:val="0"/>
              <w:spacing w:before="159" w:beforeLines="50" w:after="159" w:afterLines="50" w:line="300" w:lineRule="exact"/>
              <w:jc w:val="center"/>
              <w:rPr>
                <w:color w:val="auto"/>
                <w:szCs w:val="21"/>
                <w:highlight w:val="none"/>
              </w:rPr>
            </w:pPr>
            <w:r>
              <w:rPr>
                <w:color w:val="auto"/>
                <w:szCs w:val="21"/>
                <w:highlight w:val="none"/>
              </w:rPr>
              <w:t>1</w:t>
            </w:r>
          </w:p>
        </w:tc>
        <w:tc>
          <w:tcPr>
            <w:tcW w:w="1134" w:type="dxa"/>
            <w:noWrap w:val="0"/>
            <w:vAlign w:val="center"/>
          </w:tcPr>
          <w:p>
            <w:pPr>
              <w:adjustRightInd w:val="0"/>
              <w:snapToGrid w:val="0"/>
              <w:spacing w:line="300" w:lineRule="exact"/>
              <w:jc w:val="left"/>
              <w:rPr>
                <w:color w:val="auto"/>
                <w:szCs w:val="21"/>
                <w:highlight w:val="none"/>
              </w:rPr>
            </w:pPr>
          </w:p>
        </w:tc>
        <w:tc>
          <w:tcPr>
            <w:tcW w:w="3260" w:type="dxa"/>
            <w:noWrap w:val="0"/>
            <w:vAlign w:val="center"/>
          </w:tcPr>
          <w:p>
            <w:pPr>
              <w:adjustRightInd w:val="0"/>
              <w:snapToGrid w:val="0"/>
              <w:spacing w:line="300" w:lineRule="exact"/>
              <w:jc w:val="left"/>
              <w:rPr>
                <w:color w:val="auto"/>
                <w:szCs w:val="21"/>
                <w:highlight w:val="none"/>
              </w:rPr>
            </w:pPr>
          </w:p>
        </w:tc>
        <w:tc>
          <w:tcPr>
            <w:tcW w:w="3260" w:type="dxa"/>
            <w:noWrap w:val="0"/>
            <w:vAlign w:val="center"/>
          </w:tcPr>
          <w:p>
            <w:pPr>
              <w:adjustRightInd w:val="0"/>
              <w:snapToGrid w:val="0"/>
              <w:spacing w:line="300" w:lineRule="exact"/>
              <w:jc w:val="left"/>
              <w:rPr>
                <w:color w:val="auto"/>
                <w:szCs w:val="21"/>
                <w:highlight w:val="none"/>
              </w:rPr>
            </w:pPr>
          </w:p>
        </w:tc>
        <w:tc>
          <w:tcPr>
            <w:tcW w:w="840" w:type="dxa"/>
            <w:noWrap w:val="0"/>
            <w:vAlign w:val="center"/>
          </w:tcPr>
          <w:p>
            <w:pPr>
              <w:adjustRightInd w:val="0"/>
              <w:snapToGrid w:val="0"/>
              <w:spacing w:line="300" w:lineRule="exact"/>
              <w:jc w:val="center"/>
              <w:rPr>
                <w:color w:val="auto"/>
                <w:szCs w:val="21"/>
                <w:highlight w:val="none"/>
              </w:rPr>
            </w:pPr>
            <w:r>
              <w:rPr>
                <w:color w:val="auto"/>
                <w:szCs w:val="21"/>
                <w:highlight w:val="none"/>
              </w:rPr>
              <w:t>无偏离</w:t>
            </w:r>
          </w:p>
        </w:tc>
        <w:tc>
          <w:tcPr>
            <w:tcW w:w="722" w:type="dxa"/>
            <w:noWrap w:val="0"/>
            <w:vAlign w:val="center"/>
          </w:tcPr>
          <w:p>
            <w:pPr>
              <w:adjustRightInd w:val="0"/>
              <w:snapToGrid w:val="0"/>
              <w:spacing w:line="30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pPr>
              <w:adjustRightInd w:val="0"/>
              <w:snapToGrid w:val="0"/>
              <w:spacing w:before="159" w:beforeLines="50" w:after="159" w:afterLines="50" w:line="300" w:lineRule="exact"/>
              <w:jc w:val="center"/>
              <w:rPr>
                <w:color w:val="auto"/>
                <w:szCs w:val="21"/>
                <w:highlight w:val="none"/>
              </w:rPr>
            </w:pPr>
          </w:p>
        </w:tc>
        <w:tc>
          <w:tcPr>
            <w:tcW w:w="1134" w:type="dxa"/>
            <w:noWrap w:val="0"/>
            <w:vAlign w:val="center"/>
          </w:tcPr>
          <w:p>
            <w:pPr>
              <w:adjustRightInd w:val="0"/>
              <w:snapToGrid w:val="0"/>
              <w:spacing w:line="300" w:lineRule="exact"/>
              <w:jc w:val="left"/>
              <w:rPr>
                <w:color w:val="auto"/>
                <w:szCs w:val="21"/>
                <w:highlight w:val="none"/>
              </w:rPr>
            </w:pPr>
          </w:p>
        </w:tc>
        <w:tc>
          <w:tcPr>
            <w:tcW w:w="3260" w:type="dxa"/>
            <w:noWrap w:val="0"/>
            <w:vAlign w:val="center"/>
          </w:tcPr>
          <w:p>
            <w:pPr>
              <w:adjustRightInd w:val="0"/>
              <w:snapToGrid w:val="0"/>
              <w:spacing w:line="300" w:lineRule="exact"/>
              <w:jc w:val="left"/>
              <w:outlineLvl w:val="0"/>
              <w:rPr>
                <w:color w:val="auto"/>
                <w:szCs w:val="21"/>
                <w:highlight w:val="none"/>
              </w:rPr>
            </w:pPr>
          </w:p>
        </w:tc>
        <w:tc>
          <w:tcPr>
            <w:tcW w:w="3260" w:type="dxa"/>
            <w:noWrap w:val="0"/>
            <w:vAlign w:val="center"/>
          </w:tcPr>
          <w:p>
            <w:pPr>
              <w:adjustRightInd w:val="0"/>
              <w:snapToGrid w:val="0"/>
              <w:spacing w:line="300" w:lineRule="exact"/>
              <w:jc w:val="left"/>
              <w:outlineLvl w:val="0"/>
              <w:rPr>
                <w:color w:val="auto"/>
                <w:szCs w:val="21"/>
                <w:highlight w:val="none"/>
              </w:rPr>
            </w:pPr>
          </w:p>
        </w:tc>
        <w:tc>
          <w:tcPr>
            <w:tcW w:w="840" w:type="dxa"/>
            <w:noWrap w:val="0"/>
            <w:vAlign w:val="center"/>
          </w:tcPr>
          <w:p>
            <w:pPr>
              <w:adjustRightInd w:val="0"/>
              <w:snapToGrid w:val="0"/>
              <w:spacing w:line="300" w:lineRule="exact"/>
              <w:jc w:val="center"/>
              <w:outlineLvl w:val="0"/>
              <w:rPr>
                <w:color w:val="auto"/>
                <w:szCs w:val="21"/>
                <w:highlight w:val="none"/>
              </w:rPr>
            </w:pPr>
          </w:p>
        </w:tc>
        <w:tc>
          <w:tcPr>
            <w:tcW w:w="722" w:type="dxa"/>
            <w:noWrap w:val="0"/>
            <w:vAlign w:val="center"/>
          </w:tcPr>
          <w:p>
            <w:pPr>
              <w:adjustRightInd w:val="0"/>
              <w:snapToGrid w:val="0"/>
              <w:spacing w:line="300" w:lineRule="exact"/>
              <w:jc w:val="center"/>
              <w:outlineLvl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c>
          <w:tcPr>
            <w:tcW w:w="1134"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c>
          <w:tcPr>
            <w:tcW w:w="3260"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c>
          <w:tcPr>
            <w:tcW w:w="3260"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c>
          <w:tcPr>
            <w:tcW w:w="840"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c>
          <w:tcPr>
            <w:tcW w:w="722" w:type="dxa"/>
            <w:noWrap w:val="0"/>
            <w:vAlign w:val="center"/>
          </w:tcPr>
          <w:p>
            <w:pPr>
              <w:adjustRightInd w:val="0"/>
              <w:snapToGrid w:val="0"/>
              <w:spacing w:line="300" w:lineRule="exact"/>
              <w:jc w:val="center"/>
              <w:rPr>
                <w:color w:val="auto"/>
                <w:szCs w:val="21"/>
                <w:highlight w:val="none"/>
              </w:rPr>
            </w:pPr>
            <w:r>
              <w:rPr>
                <w:color w:val="auto"/>
                <w:szCs w:val="21"/>
                <w:highlight w:val="none"/>
              </w:rPr>
              <w:t>…</w:t>
            </w:r>
          </w:p>
        </w:tc>
      </w:tr>
    </w:tbl>
    <w:p>
      <w:pPr>
        <w:keepNext w:val="0"/>
        <w:keepLines w:val="0"/>
        <w:pageBreakBefore w:val="0"/>
        <w:widowControl w:val="0"/>
        <w:kinsoku/>
        <w:wordWrap/>
        <w:overflowPunct/>
        <w:topLinePunct w:val="0"/>
        <w:autoSpaceDE/>
        <w:autoSpaceDN/>
        <w:bidi w:val="0"/>
        <w:adjustRightInd w:val="0"/>
        <w:snapToGrid w:val="0"/>
        <w:spacing w:before="160" w:line="240" w:lineRule="exact"/>
        <w:ind w:firstLine="105" w:firstLineChars="50"/>
        <w:textAlignment w:val="auto"/>
        <w:rPr>
          <w:color w:val="auto"/>
          <w:szCs w:val="21"/>
          <w:highlight w:val="none"/>
        </w:rPr>
      </w:pPr>
      <w:r>
        <w:rPr>
          <w:color w:val="auto"/>
          <w:szCs w:val="21"/>
          <w:highlight w:val="none"/>
        </w:rPr>
        <w:t>说明：</w:t>
      </w:r>
      <w:r>
        <w:rPr>
          <w:color w:val="auto"/>
          <w:highlight w:val="none"/>
        </w:rPr>
        <w:t>1.应写明竞争性磋商响应文件对商务与技术要求的响应和偏离情况；</w:t>
      </w:r>
    </w:p>
    <w:p>
      <w:pPr>
        <w:pStyle w:val="7"/>
        <w:keepNext w:val="0"/>
        <w:keepLines w:val="0"/>
        <w:pageBreakBefore w:val="0"/>
        <w:widowControl w:val="0"/>
        <w:kinsoku/>
        <w:wordWrap/>
        <w:overflowPunct/>
        <w:topLinePunct w:val="0"/>
        <w:autoSpaceDE/>
        <w:autoSpaceDN/>
        <w:bidi w:val="0"/>
        <w:adjustRightInd/>
        <w:snapToGrid/>
        <w:spacing w:line="240" w:lineRule="exact"/>
        <w:ind w:firstLine="630" w:firstLineChars="300"/>
        <w:textAlignment w:val="auto"/>
        <w:rPr>
          <w:rFonts w:ascii="Times New Roman" w:eastAsia="宋体"/>
          <w:color w:val="auto"/>
          <w:sz w:val="21"/>
          <w:szCs w:val="21"/>
          <w:highlight w:val="none"/>
        </w:rPr>
      </w:pPr>
      <w:r>
        <w:rPr>
          <w:rFonts w:ascii="Times New Roman" w:eastAsia="宋体"/>
          <w:color w:val="auto"/>
          <w:sz w:val="21"/>
          <w:szCs w:val="21"/>
          <w:highlight w:val="none"/>
        </w:rPr>
        <w:t xml:space="preserve"> 2.应对照竞争性磋商文件“第三章  采购项目需求”，逐条说明所提供货物和服务已对竞争性磋商文件的技术规格做出了实质性的响应，并申明与技术规格条文的响应和偏离。</w:t>
      </w:r>
    </w:p>
    <w:p>
      <w:pPr>
        <w:pStyle w:val="8"/>
        <w:spacing w:line="300" w:lineRule="auto"/>
        <w:rPr>
          <w:rFonts w:ascii="Times New Roman" w:hAnsi="Times New Roman" w:cs="Times New Roman"/>
          <w:color w:val="auto"/>
          <w:highlight w:val="none"/>
        </w:rPr>
      </w:pPr>
    </w:p>
    <w:p>
      <w:pPr>
        <w:pStyle w:val="8"/>
        <w:spacing w:line="300" w:lineRule="auto"/>
        <w:ind w:firstLine="1470" w:firstLineChars="700"/>
        <w:jc w:val="right"/>
        <w:rPr>
          <w:rFonts w:ascii="Times New Roman" w:hAnsi="Times New Roman" w:cs="Times New Roman"/>
          <w:color w:val="auto"/>
          <w:highlight w:val="none"/>
        </w:rPr>
      </w:pPr>
      <w:r>
        <w:rPr>
          <w:rFonts w:ascii="Times New Roman" w:hAnsi="Times New Roman" w:cs="Times New Roman"/>
          <w:color w:val="auto"/>
          <w:highlight w:val="none"/>
        </w:rPr>
        <w:t>法定代表人或法定代表人授权代表签字:</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 xml:space="preserve">  </w:t>
      </w:r>
    </w:p>
    <w:p>
      <w:pPr>
        <w:pStyle w:val="8"/>
        <w:spacing w:line="300" w:lineRule="auto"/>
        <w:ind w:firstLine="4935" w:firstLineChars="2350"/>
        <w:jc w:val="right"/>
        <w:rPr>
          <w:rFonts w:ascii="Times New Roman" w:hAnsi="Times New Roman" w:cs="Times New Roman"/>
          <w:color w:val="auto"/>
          <w:highlight w:val="none"/>
          <w:u w:val="single"/>
        </w:rPr>
      </w:pP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年</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月</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日</w:t>
      </w:r>
    </w:p>
    <w:p>
      <w:pPr>
        <w:spacing w:line="240" w:lineRule="auto"/>
        <w:rPr>
          <w:color w:val="auto"/>
          <w:szCs w:val="21"/>
          <w:highlight w:val="none"/>
        </w:rPr>
      </w:pPr>
      <w:r>
        <w:rPr>
          <w:color w:val="auto"/>
          <w:szCs w:val="21"/>
          <w:highlight w:val="none"/>
        </w:rPr>
        <w:br w:type="page"/>
      </w:r>
    </w:p>
    <w:p>
      <w:pPr>
        <w:spacing w:line="300" w:lineRule="auto"/>
        <w:rPr>
          <w:color w:val="auto"/>
          <w:szCs w:val="21"/>
          <w:highlight w:val="none"/>
        </w:rPr>
      </w:pPr>
    </w:p>
    <w:p>
      <w:pPr>
        <w:spacing w:line="300" w:lineRule="auto"/>
        <w:rPr>
          <w:color w:val="auto"/>
          <w:szCs w:val="21"/>
          <w:highlight w:val="none"/>
        </w:rPr>
      </w:pPr>
      <w:r>
        <w:rPr>
          <w:color w:val="auto"/>
          <w:szCs w:val="21"/>
          <w:highlight w:val="none"/>
        </w:rPr>
        <w:t>附件五</w:t>
      </w:r>
    </w:p>
    <w:p>
      <w:pPr>
        <w:spacing w:line="5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法定代表人授权书</w:t>
      </w:r>
    </w:p>
    <w:p>
      <w:pPr>
        <w:spacing w:line="520" w:lineRule="exact"/>
        <w:rPr>
          <w:color w:val="auto"/>
          <w:szCs w:val="21"/>
          <w:highlight w:val="none"/>
        </w:rPr>
      </w:pPr>
      <w:r>
        <w:rPr>
          <w:color w:val="auto"/>
          <w:szCs w:val="21"/>
          <w:highlight w:val="none"/>
        </w:rPr>
        <w:t>广西东博国际</w:t>
      </w:r>
      <w:r>
        <w:rPr>
          <w:rFonts w:hint="eastAsia"/>
          <w:color w:val="auto"/>
          <w:szCs w:val="21"/>
          <w:highlight w:val="none"/>
          <w:lang w:val="en-US" w:eastAsia="zh-CN"/>
        </w:rPr>
        <w:t>经贸投资</w:t>
      </w:r>
      <w:r>
        <w:rPr>
          <w:color w:val="auto"/>
          <w:szCs w:val="21"/>
          <w:highlight w:val="none"/>
        </w:rPr>
        <w:t>有限公司：</w:t>
      </w:r>
    </w:p>
    <w:p>
      <w:pPr>
        <w:spacing w:line="520" w:lineRule="exact"/>
        <w:ind w:firstLine="420" w:firstLineChars="200"/>
        <w:rPr>
          <w:color w:val="auto"/>
          <w:szCs w:val="21"/>
          <w:highlight w:val="none"/>
        </w:rPr>
      </w:pPr>
      <w:r>
        <w:rPr>
          <w:color w:val="auto"/>
          <w:szCs w:val="21"/>
          <w:highlight w:val="none"/>
        </w:rPr>
        <w:t>兹授权</w:t>
      </w:r>
      <w:r>
        <w:rPr>
          <w:color w:val="auto"/>
          <w:szCs w:val="21"/>
          <w:highlight w:val="none"/>
          <w:u w:val="single"/>
        </w:rPr>
        <w:t xml:space="preserve">      </w:t>
      </w:r>
      <w:r>
        <w:rPr>
          <w:color w:val="auto"/>
          <w:szCs w:val="21"/>
          <w:highlight w:val="none"/>
        </w:rPr>
        <w:t>同志为我公司参加贵单位组织的</w:t>
      </w:r>
      <w:r>
        <w:rPr>
          <w:color w:val="auto"/>
          <w:szCs w:val="21"/>
          <w:highlight w:val="none"/>
          <w:u w:val="single"/>
        </w:rPr>
        <w:t>（项目名称）竞争性磋商</w:t>
      </w:r>
      <w:r>
        <w:rPr>
          <w:color w:val="auto"/>
          <w:szCs w:val="21"/>
          <w:highlight w:val="none"/>
        </w:rPr>
        <w:t>采购活动的竞标代表人，全权代表我公司处理在该项目活动中的一切事宜。代理期限从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日起至</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日止。</w:t>
      </w:r>
    </w:p>
    <w:p>
      <w:pPr>
        <w:spacing w:line="520" w:lineRule="exact"/>
        <w:rPr>
          <w:color w:val="auto"/>
          <w:szCs w:val="21"/>
          <w:highlight w:val="none"/>
        </w:rPr>
      </w:pPr>
    </w:p>
    <w:p>
      <w:pPr>
        <w:spacing w:line="520" w:lineRule="exact"/>
        <w:rPr>
          <w:color w:val="auto"/>
          <w:szCs w:val="21"/>
          <w:highlight w:val="none"/>
        </w:rPr>
      </w:pPr>
      <w:r>
        <w:rPr>
          <w:color w:val="auto"/>
          <w:szCs w:val="21"/>
          <w:highlight w:val="none"/>
        </w:rPr>
        <w:t>授权单位（签章）：</w:t>
      </w:r>
      <w:r>
        <w:rPr>
          <w:color w:val="auto"/>
          <w:szCs w:val="21"/>
          <w:highlight w:val="none"/>
          <w:u w:val="single"/>
        </w:rPr>
        <w:t xml:space="preserve">                </w:t>
      </w:r>
    </w:p>
    <w:p>
      <w:pPr>
        <w:spacing w:line="520" w:lineRule="exact"/>
        <w:rPr>
          <w:color w:val="auto"/>
          <w:szCs w:val="21"/>
          <w:highlight w:val="none"/>
          <w:u w:val="single"/>
        </w:rPr>
      </w:pPr>
      <w:r>
        <w:rPr>
          <w:color w:val="auto"/>
          <w:szCs w:val="21"/>
          <w:highlight w:val="none"/>
        </w:rPr>
        <w:t>法定代表人（签字或盖章）：</w:t>
      </w:r>
      <w:r>
        <w:rPr>
          <w:color w:val="auto"/>
          <w:szCs w:val="21"/>
          <w:highlight w:val="none"/>
          <w:u w:val="single"/>
        </w:rPr>
        <w:t xml:space="preserve">         </w:t>
      </w:r>
    </w:p>
    <w:p>
      <w:pPr>
        <w:spacing w:line="520" w:lineRule="exact"/>
        <w:rPr>
          <w:color w:val="auto"/>
          <w:szCs w:val="21"/>
          <w:highlight w:val="none"/>
        </w:rPr>
      </w:pPr>
      <w:r>
        <w:rPr>
          <w:color w:val="auto"/>
          <w:szCs w:val="21"/>
          <w:highlight w:val="none"/>
        </w:rPr>
        <w:t>被授权代表（签字）：</w:t>
      </w:r>
      <w:r>
        <w:rPr>
          <w:color w:val="auto"/>
          <w:szCs w:val="21"/>
          <w:highlight w:val="none"/>
          <w:u w:val="single"/>
        </w:rPr>
        <w:t xml:space="preserve">                </w:t>
      </w:r>
    </w:p>
    <w:p>
      <w:pPr>
        <w:spacing w:line="520" w:lineRule="exact"/>
        <w:rPr>
          <w:color w:val="auto"/>
          <w:szCs w:val="21"/>
          <w:highlight w:val="none"/>
        </w:rPr>
      </w:pPr>
      <w:r>
        <w:rPr>
          <w:color w:val="auto"/>
          <w:szCs w:val="21"/>
          <w:highlight w:val="none"/>
        </w:rPr>
        <w:t>签发日期：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spacing w:line="520" w:lineRule="exact"/>
        <w:rPr>
          <w:color w:val="auto"/>
          <w:szCs w:val="21"/>
          <w:highlight w:val="none"/>
        </w:rPr>
      </w:pPr>
    </w:p>
    <w:p>
      <w:pPr>
        <w:spacing w:line="520" w:lineRule="exact"/>
        <w:ind w:firstLine="420" w:firstLineChars="200"/>
        <w:rPr>
          <w:color w:val="auto"/>
          <w:szCs w:val="21"/>
          <w:highlight w:val="none"/>
        </w:rPr>
      </w:pPr>
      <w:r>
        <w:rPr>
          <w:color w:val="auto"/>
          <w:szCs w:val="21"/>
          <w:highlight w:val="none"/>
        </w:rPr>
        <w:t>附：代理人工作单位：</w:t>
      </w:r>
      <w:r>
        <w:rPr>
          <w:color w:val="auto"/>
          <w:szCs w:val="21"/>
          <w:highlight w:val="none"/>
          <w:u w:val="single"/>
        </w:rPr>
        <w:t xml:space="preserve">                     </w:t>
      </w:r>
    </w:p>
    <w:p>
      <w:pPr>
        <w:spacing w:line="520" w:lineRule="exact"/>
        <w:ind w:firstLine="420" w:firstLineChars="200"/>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p>
    <w:p>
      <w:pPr>
        <w:adjustRightInd w:val="0"/>
        <w:snapToGrid w:val="0"/>
        <w:spacing w:line="520" w:lineRule="exact"/>
        <w:ind w:firstLine="420" w:firstLineChars="200"/>
        <w:rPr>
          <w:color w:val="auto"/>
          <w:szCs w:val="21"/>
          <w:highlight w:val="none"/>
          <w:u w:val="single"/>
        </w:rPr>
      </w:pPr>
      <w:r>
        <w:rPr>
          <w:color w:val="auto"/>
          <w:szCs w:val="21"/>
          <w:highlight w:val="none"/>
        </w:rPr>
        <w:t>身份证号码：</w:t>
      </w:r>
      <w:r>
        <w:rPr>
          <w:color w:val="auto"/>
          <w:szCs w:val="21"/>
          <w:highlight w:val="none"/>
          <w:u w:val="single"/>
        </w:rPr>
        <w:t xml:space="preserve">                              </w:t>
      </w:r>
    </w:p>
    <w:p>
      <w:pPr>
        <w:adjustRightInd w:val="0"/>
        <w:snapToGrid w:val="0"/>
        <w:spacing w:line="520" w:lineRule="exact"/>
        <w:ind w:firstLine="420" w:firstLineChars="200"/>
        <w:rPr>
          <w:color w:val="auto"/>
          <w:szCs w:val="21"/>
          <w:highlight w:val="none"/>
          <w:u w:val="singl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8657" w:type="dxa"/>
            <w:noWrap w:val="0"/>
            <w:vAlign w:val="top"/>
          </w:tcPr>
          <w:p>
            <w:pPr>
              <w:spacing w:line="300" w:lineRule="auto"/>
              <w:rPr>
                <w:color w:val="auto"/>
                <w:szCs w:val="21"/>
                <w:highlight w:val="none"/>
              </w:rPr>
            </w:pPr>
            <w:r>
              <w:rPr>
                <w:color w:val="auto"/>
                <w:szCs w:val="21"/>
                <w:highlight w:val="none"/>
              </w:rPr>
              <w:t>粘贴被授权人身份证（正、反两面复印件）</w:t>
            </w:r>
          </w:p>
        </w:tc>
      </w:tr>
    </w:tbl>
    <w:p>
      <w:pPr>
        <w:autoSpaceDE w:val="0"/>
        <w:autoSpaceDN w:val="0"/>
        <w:spacing w:line="300" w:lineRule="auto"/>
        <w:ind w:left="480" w:hanging="480"/>
        <w:rPr>
          <w:color w:val="auto"/>
          <w:szCs w:val="21"/>
          <w:highlight w:val="none"/>
        </w:rPr>
      </w:pPr>
    </w:p>
    <w:p>
      <w:pPr>
        <w:pStyle w:val="8"/>
        <w:spacing w:line="300" w:lineRule="auto"/>
        <w:rPr>
          <w:rFonts w:ascii="Times New Roman" w:hAnsi="Times New Roman" w:cs="Times New Roman"/>
          <w:color w:val="auto"/>
          <w:highlight w:val="none"/>
        </w:rPr>
      </w:pPr>
    </w:p>
    <w:p>
      <w:pPr>
        <w:pStyle w:val="8"/>
        <w:spacing w:line="300" w:lineRule="auto"/>
        <w:rPr>
          <w:rFonts w:ascii="Times New Roman" w:hAnsi="Times New Roman" w:cs="Times New Roman"/>
          <w:color w:val="auto"/>
          <w:highlight w:val="none"/>
        </w:rPr>
      </w:pPr>
      <w:r>
        <w:rPr>
          <w:rFonts w:ascii="Times New Roman" w:hAnsi="Times New Roman" w:cs="Times New Roman"/>
          <w:color w:val="auto"/>
          <w:highlight w:val="none"/>
        </w:rPr>
        <w:br w:type="page"/>
      </w:r>
      <w:r>
        <w:rPr>
          <w:rFonts w:ascii="Times New Roman" w:hAnsi="Times New Roman" w:cs="Times New Roman"/>
          <w:color w:val="auto"/>
          <w:highlight w:val="none"/>
        </w:rPr>
        <w:t>附件六</w:t>
      </w:r>
    </w:p>
    <w:p>
      <w:pPr>
        <w:pStyle w:val="8"/>
        <w:spacing w:line="400" w:lineRule="exact"/>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其他文件</w:t>
      </w:r>
    </w:p>
    <w:p>
      <w:pPr>
        <w:spacing w:line="420" w:lineRule="exact"/>
        <w:ind w:firstLine="420" w:firstLineChars="200"/>
        <w:rPr>
          <w:b/>
          <w:bCs/>
          <w:color w:val="auto"/>
          <w:szCs w:val="21"/>
          <w:highlight w:val="none"/>
        </w:rPr>
      </w:pPr>
      <w:r>
        <w:rPr>
          <w:color w:val="auto"/>
          <w:szCs w:val="21"/>
          <w:highlight w:val="none"/>
        </w:rPr>
        <w:t>6.竞标人有效的“</w:t>
      </w:r>
      <w:r>
        <w:rPr>
          <w:b/>
          <w:color w:val="auto"/>
          <w:szCs w:val="21"/>
          <w:highlight w:val="none"/>
        </w:rPr>
        <w:t>营业执照</w:t>
      </w:r>
      <w:r>
        <w:rPr>
          <w:color w:val="auto"/>
          <w:szCs w:val="21"/>
          <w:highlight w:val="none"/>
        </w:rPr>
        <w:t>”副本内页复印件（必须加盖单位公章）；</w:t>
      </w:r>
      <w:r>
        <w:rPr>
          <w:b/>
          <w:bCs/>
          <w:color w:val="auto"/>
          <w:szCs w:val="21"/>
          <w:highlight w:val="none"/>
        </w:rPr>
        <w:t>（必须提供）</w:t>
      </w:r>
    </w:p>
    <w:p>
      <w:pPr>
        <w:pStyle w:val="3"/>
        <w:rPr>
          <w:color w:val="auto"/>
          <w:highlight w:val="none"/>
        </w:rPr>
      </w:pPr>
    </w:p>
    <w:p>
      <w:pPr>
        <w:pStyle w:val="3"/>
        <w:rPr>
          <w:color w:val="auto"/>
          <w:highlight w:val="none"/>
        </w:rPr>
      </w:pPr>
    </w:p>
    <w:p>
      <w:pPr>
        <w:spacing w:line="420" w:lineRule="exact"/>
        <w:ind w:firstLine="420" w:firstLineChars="200"/>
        <w:rPr>
          <w:color w:val="auto"/>
          <w:szCs w:val="21"/>
          <w:highlight w:val="none"/>
        </w:rPr>
      </w:pPr>
      <w:r>
        <w:rPr>
          <w:color w:val="auto"/>
          <w:kern w:val="0"/>
          <w:szCs w:val="21"/>
          <w:highlight w:val="none"/>
        </w:rPr>
        <w:t>7.</w:t>
      </w:r>
      <w:r>
        <w:rPr>
          <w:color w:val="auto"/>
          <w:szCs w:val="21"/>
          <w:highlight w:val="none"/>
        </w:rPr>
        <w:t>竞标人类似服务的业绩竞标人同类项目实施情况一览表（</w:t>
      </w:r>
      <w:r>
        <w:rPr>
          <w:rFonts w:hint="eastAsia"/>
          <w:color w:val="auto"/>
          <w:szCs w:val="21"/>
          <w:highlight w:val="none"/>
        </w:rPr>
        <w:t>提供至少3个服务政府及企事业单位或经贸经贸促进类机构、东盟相关机构等的线上平台建设案例</w:t>
      </w:r>
      <w:r>
        <w:rPr>
          <w:rFonts w:hint="eastAsia"/>
          <w:color w:val="auto"/>
          <w:szCs w:val="21"/>
          <w:highlight w:val="none"/>
          <w:lang w:eastAsia="zh-CN"/>
        </w:rPr>
        <w:t>，</w:t>
      </w:r>
      <w:r>
        <w:rPr>
          <w:color w:val="auto"/>
          <w:szCs w:val="21"/>
          <w:highlight w:val="none"/>
        </w:rPr>
        <w:t>必须加盖单位公章）；</w:t>
      </w:r>
    </w:p>
    <w:p>
      <w:p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竞标人同类项目实施情况一览表格式：</w:t>
      </w:r>
    </w:p>
    <w:p>
      <w:pPr>
        <w:spacing w:line="360" w:lineRule="auto"/>
        <w:ind w:firstLine="360"/>
        <w:jc w:val="center"/>
        <w:rPr>
          <w:b/>
          <w:color w:val="auto"/>
          <w:sz w:val="24"/>
          <w:highlight w:val="none"/>
        </w:rPr>
      </w:pPr>
      <w:r>
        <w:rPr>
          <w:b/>
          <w:color w:val="auto"/>
          <w:sz w:val="24"/>
          <w:highlight w:val="none"/>
        </w:rPr>
        <w:t>（附：采购合同或中标通知书复印件，并加盖单位公章）</w:t>
      </w:r>
    </w:p>
    <w:p>
      <w:pPr>
        <w:spacing w:line="360" w:lineRule="auto"/>
        <w:ind w:firstLine="360"/>
        <w:rPr>
          <w:color w:val="auto"/>
          <w:sz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61"/>
        <w:gridCol w:w="1086"/>
        <w:gridCol w:w="993"/>
        <w:gridCol w:w="1624"/>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49" w:type="dxa"/>
            <w:noWrap w:val="0"/>
            <w:vAlign w:val="center"/>
          </w:tcPr>
          <w:p>
            <w:pPr>
              <w:spacing w:line="360" w:lineRule="auto"/>
              <w:jc w:val="center"/>
              <w:rPr>
                <w:color w:val="auto"/>
                <w:sz w:val="24"/>
                <w:highlight w:val="none"/>
              </w:rPr>
            </w:pPr>
            <w:r>
              <w:rPr>
                <w:color w:val="auto"/>
                <w:sz w:val="24"/>
                <w:highlight w:val="none"/>
              </w:rPr>
              <w:t>采购单位名称</w:t>
            </w:r>
          </w:p>
        </w:tc>
        <w:tc>
          <w:tcPr>
            <w:tcW w:w="1261" w:type="dxa"/>
            <w:noWrap w:val="0"/>
            <w:vAlign w:val="center"/>
          </w:tcPr>
          <w:p>
            <w:pPr>
              <w:spacing w:line="360" w:lineRule="auto"/>
              <w:jc w:val="center"/>
              <w:rPr>
                <w:color w:val="auto"/>
                <w:sz w:val="24"/>
                <w:highlight w:val="none"/>
              </w:rPr>
            </w:pPr>
            <w:r>
              <w:rPr>
                <w:color w:val="auto"/>
                <w:sz w:val="24"/>
                <w:highlight w:val="none"/>
              </w:rPr>
              <w:t>服务项目名称</w:t>
            </w:r>
          </w:p>
        </w:tc>
        <w:tc>
          <w:tcPr>
            <w:tcW w:w="1086" w:type="dxa"/>
            <w:noWrap w:val="0"/>
            <w:vAlign w:val="center"/>
          </w:tcPr>
          <w:p>
            <w:pPr>
              <w:spacing w:line="360" w:lineRule="auto"/>
              <w:jc w:val="center"/>
              <w:rPr>
                <w:color w:val="auto"/>
                <w:sz w:val="24"/>
                <w:highlight w:val="none"/>
              </w:rPr>
            </w:pPr>
            <w:r>
              <w:rPr>
                <w:color w:val="auto"/>
                <w:sz w:val="24"/>
                <w:highlight w:val="none"/>
              </w:rPr>
              <w:t>采购</w:t>
            </w:r>
          </w:p>
          <w:p>
            <w:pPr>
              <w:spacing w:line="360" w:lineRule="auto"/>
              <w:jc w:val="center"/>
              <w:rPr>
                <w:color w:val="auto"/>
                <w:sz w:val="24"/>
                <w:highlight w:val="none"/>
              </w:rPr>
            </w:pPr>
            <w:r>
              <w:rPr>
                <w:color w:val="auto"/>
                <w:sz w:val="24"/>
                <w:highlight w:val="none"/>
              </w:rPr>
              <w:t>数量</w:t>
            </w:r>
          </w:p>
        </w:tc>
        <w:tc>
          <w:tcPr>
            <w:tcW w:w="993" w:type="dxa"/>
            <w:noWrap w:val="0"/>
            <w:vAlign w:val="center"/>
          </w:tcPr>
          <w:p>
            <w:pPr>
              <w:spacing w:line="360" w:lineRule="auto"/>
              <w:jc w:val="center"/>
              <w:rPr>
                <w:color w:val="auto"/>
                <w:sz w:val="24"/>
                <w:highlight w:val="none"/>
              </w:rPr>
            </w:pPr>
            <w:r>
              <w:rPr>
                <w:color w:val="auto"/>
                <w:sz w:val="24"/>
                <w:highlight w:val="none"/>
              </w:rPr>
              <w:t>单价</w:t>
            </w:r>
          </w:p>
        </w:tc>
        <w:tc>
          <w:tcPr>
            <w:tcW w:w="1624" w:type="dxa"/>
            <w:noWrap w:val="0"/>
            <w:vAlign w:val="center"/>
          </w:tcPr>
          <w:p>
            <w:pPr>
              <w:spacing w:line="360" w:lineRule="auto"/>
              <w:jc w:val="center"/>
              <w:rPr>
                <w:color w:val="auto"/>
                <w:sz w:val="24"/>
                <w:highlight w:val="none"/>
              </w:rPr>
            </w:pPr>
            <w:r>
              <w:rPr>
                <w:color w:val="auto"/>
                <w:sz w:val="24"/>
                <w:highlight w:val="none"/>
              </w:rPr>
              <w:t>合同</w:t>
            </w:r>
          </w:p>
          <w:p>
            <w:pPr>
              <w:spacing w:line="360" w:lineRule="auto"/>
              <w:jc w:val="center"/>
              <w:rPr>
                <w:color w:val="auto"/>
                <w:sz w:val="24"/>
                <w:highlight w:val="none"/>
              </w:rPr>
            </w:pPr>
            <w:r>
              <w:rPr>
                <w:color w:val="auto"/>
                <w:sz w:val="24"/>
                <w:highlight w:val="none"/>
              </w:rPr>
              <w:t>金额</w:t>
            </w:r>
          </w:p>
          <w:p>
            <w:pPr>
              <w:spacing w:line="360" w:lineRule="auto"/>
              <w:jc w:val="center"/>
              <w:rPr>
                <w:color w:val="auto"/>
                <w:sz w:val="24"/>
                <w:highlight w:val="none"/>
              </w:rPr>
            </w:pPr>
            <w:r>
              <w:rPr>
                <w:color w:val="auto"/>
                <w:sz w:val="24"/>
                <w:highlight w:val="none"/>
              </w:rPr>
              <w:t>（万元）</w:t>
            </w:r>
          </w:p>
        </w:tc>
        <w:tc>
          <w:tcPr>
            <w:tcW w:w="2980" w:type="dxa"/>
            <w:noWrap w:val="0"/>
            <w:vAlign w:val="center"/>
          </w:tcPr>
          <w:p>
            <w:pPr>
              <w:spacing w:line="360" w:lineRule="auto"/>
              <w:jc w:val="center"/>
              <w:rPr>
                <w:rFonts w:hint="eastAsia" w:eastAsia="宋体"/>
                <w:color w:val="auto"/>
                <w:sz w:val="24"/>
                <w:highlight w:val="none"/>
                <w:lang w:eastAsia="zh-CN"/>
              </w:rPr>
            </w:pPr>
            <w:r>
              <w:rPr>
                <w:rFonts w:hint="eastAsia"/>
                <w:color w:val="auto"/>
                <w:sz w:val="24"/>
                <w:highlight w:val="no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9" w:type="dxa"/>
            <w:noWrap w:val="0"/>
            <w:vAlign w:val="center"/>
          </w:tcPr>
          <w:p>
            <w:pPr>
              <w:spacing w:line="360" w:lineRule="auto"/>
              <w:jc w:val="center"/>
              <w:rPr>
                <w:color w:val="auto"/>
                <w:sz w:val="24"/>
                <w:highlight w:val="none"/>
              </w:rPr>
            </w:pPr>
          </w:p>
        </w:tc>
        <w:tc>
          <w:tcPr>
            <w:tcW w:w="1261" w:type="dxa"/>
            <w:noWrap w:val="0"/>
            <w:vAlign w:val="center"/>
          </w:tcPr>
          <w:p>
            <w:pPr>
              <w:spacing w:line="360" w:lineRule="auto"/>
              <w:jc w:val="center"/>
              <w:rPr>
                <w:color w:val="auto"/>
                <w:sz w:val="24"/>
                <w:highlight w:val="none"/>
              </w:rPr>
            </w:pPr>
          </w:p>
        </w:tc>
        <w:tc>
          <w:tcPr>
            <w:tcW w:w="1086" w:type="dxa"/>
            <w:noWrap w:val="0"/>
            <w:vAlign w:val="center"/>
          </w:tcPr>
          <w:p>
            <w:pPr>
              <w:spacing w:line="360" w:lineRule="auto"/>
              <w:jc w:val="center"/>
              <w:rPr>
                <w:color w:val="auto"/>
                <w:sz w:val="24"/>
                <w:highlight w:val="none"/>
              </w:rPr>
            </w:pPr>
          </w:p>
        </w:tc>
        <w:tc>
          <w:tcPr>
            <w:tcW w:w="993" w:type="dxa"/>
            <w:noWrap w:val="0"/>
            <w:vAlign w:val="center"/>
          </w:tcPr>
          <w:p>
            <w:pPr>
              <w:spacing w:line="360" w:lineRule="auto"/>
              <w:jc w:val="center"/>
              <w:rPr>
                <w:color w:val="auto"/>
                <w:sz w:val="24"/>
                <w:highlight w:val="none"/>
              </w:rPr>
            </w:pPr>
          </w:p>
        </w:tc>
        <w:tc>
          <w:tcPr>
            <w:tcW w:w="1624" w:type="dxa"/>
            <w:noWrap w:val="0"/>
            <w:vAlign w:val="center"/>
          </w:tcPr>
          <w:p>
            <w:pPr>
              <w:spacing w:line="360" w:lineRule="auto"/>
              <w:jc w:val="center"/>
              <w:rPr>
                <w:color w:val="auto"/>
                <w:sz w:val="24"/>
                <w:highlight w:val="none"/>
              </w:rPr>
            </w:pPr>
          </w:p>
        </w:tc>
        <w:tc>
          <w:tcPr>
            <w:tcW w:w="2980" w:type="dxa"/>
            <w:noWrap w:val="0"/>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249" w:type="dxa"/>
            <w:noWrap w:val="0"/>
            <w:vAlign w:val="center"/>
          </w:tcPr>
          <w:p>
            <w:pPr>
              <w:spacing w:line="360" w:lineRule="auto"/>
              <w:jc w:val="center"/>
              <w:rPr>
                <w:color w:val="auto"/>
                <w:sz w:val="24"/>
                <w:highlight w:val="none"/>
              </w:rPr>
            </w:pPr>
          </w:p>
        </w:tc>
        <w:tc>
          <w:tcPr>
            <w:tcW w:w="1261" w:type="dxa"/>
            <w:noWrap w:val="0"/>
            <w:vAlign w:val="center"/>
          </w:tcPr>
          <w:p>
            <w:pPr>
              <w:spacing w:line="360" w:lineRule="auto"/>
              <w:jc w:val="center"/>
              <w:rPr>
                <w:color w:val="auto"/>
                <w:sz w:val="24"/>
                <w:highlight w:val="none"/>
              </w:rPr>
            </w:pPr>
          </w:p>
        </w:tc>
        <w:tc>
          <w:tcPr>
            <w:tcW w:w="1086" w:type="dxa"/>
            <w:noWrap w:val="0"/>
            <w:vAlign w:val="center"/>
          </w:tcPr>
          <w:p>
            <w:pPr>
              <w:spacing w:line="360" w:lineRule="auto"/>
              <w:jc w:val="center"/>
              <w:rPr>
                <w:color w:val="auto"/>
                <w:sz w:val="24"/>
                <w:highlight w:val="none"/>
              </w:rPr>
            </w:pPr>
          </w:p>
        </w:tc>
        <w:tc>
          <w:tcPr>
            <w:tcW w:w="993" w:type="dxa"/>
            <w:noWrap w:val="0"/>
            <w:vAlign w:val="center"/>
          </w:tcPr>
          <w:p>
            <w:pPr>
              <w:spacing w:line="360" w:lineRule="auto"/>
              <w:jc w:val="center"/>
              <w:rPr>
                <w:color w:val="auto"/>
                <w:sz w:val="24"/>
                <w:highlight w:val="none"/>
              </w:rPr>
            </w:pPr>
          </w:p>
        </w:tc>
        <w:tc>
          <w:tcPr>
            <w:tcW w:w="1624" w:type="dxa"/>
            <w:noWrap w:val="0"/>
            <w:vAlign w:val="center"/>
          </w:tcPr>
          <w:p>
            <w:pPr>
              <w:spacing w:line="360" w:lineRule="auto"/>
              <w:jc w:val="center"/>
              <w:rPr>
                <w:color w:val="auto"/>
                <w:sz w:val="24"/>
                <w:highlight w:val="none"/>
              </w:rPr>
            </w:pPr>
          </w:p>
        </w:tc>
        <w:tc>
          <w:tcPr>
            <w:tcW w:w="2980" w:type="dxa"/>
            <w:noWrap w:val="0"/>
            <w:vAlign w:val="center"/>
          </w:tcPr>
          <w:p>
            <w:pPr>
              <w:spacing w:line="360" w:lineRule="auto"/>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249" w:type="dxa"/>
            <w:noWrap w:val="0"/>
            <w:vAlign w:val="center"/>
          </w:tcPr>
          <w:p>
            <w:pPr>
              <w:spacing w:line="360" w:lineRule="auto"/>
              <w:jc w:val="center"/>
              <w:rPr>
                <w:color w:val="auto"/>
                <w:sz w:val="24"/>
                <w:highlight w:val="none"/>
              </w:rPr>
            </w:pPr>
          </w:p>
        </w:tc>
        <w:tc>
          <w:tcPr>
            <w:tcW w:w="1261" w:type="dxa"/>
            <w:noWrap w:val="0"/>
            <w:vAlign w:val="center"/>
          </w:tcPr>
          <w:p>
            <w:pPr>
              <w:spacing w:line="360" w:lineRule="auto"/>
              <w:jc w:val="center"/>
              <w:rPr>
                <w:color w:val="auto"/>
                <w:sz w:val="24"/>
                <w:highlight w:val="none"/>
              </w:rPr>
            </w:pPr>
          </w:p>
        </w:tc>
        <w:tc>
          <w:tcPr>
            <w:tcW w:w="1086" w:type="dxa"/>
            <w:noWrap w:val="0"/>
            <w:vAlign w:val="center"/>
          </w:tcPr>
          <w:p>
            <w:pPr>
              <w:spacing w:line="360" w:lineRule="auto"/>
              <w:jc w:val="center"/>
              <w:rPr>
                <w:color w:val="auto"/>
                <w:sz w:val="24"/>
                <w:highlight w:val="none"/>
              </w:rPr>
            </w:pPr>
          </w:p>
        </w:tc>
        <w:tc>
          <w:tcPr>
            <w:tcW w:w="993" w:type="dxa"/>
            <w:noWrap w:val="0"/>
            <w:vAlign w:val="center"/>
          </w:tcPr>
          <w:p>
            <w:pPr>
              <w:spacing w:line="360" w:lineRule="auto"/>
              <w:jc w:val="center"/>
              <w:rPr>
                <w:color w:val="auto"/>
                <w:sz w:val="24"/>
                <w:highlight w:val="none"/>
              </w:rPr>
            </w:pPr>
          </w:p>
        </w:tc>
        <w:tc>
          <w:tcPr>
            <w:tcW w:w="1624" w:type="dxa"/>
            <w:noWrap w:val="0"/>
            <w:vAlign w:val="center"/>
          </w:tcPr>
          <w:p>
            <w:pPr>
              <w:spacing w:line="360" w:lineRule="auto"/>
              <w:jc w:val="center"/>
              <w:rPr>
                <w:color w:val="auto"/>
                <w:sz w:val="24"/>
                <w:highlight w:val="none"/>
              </w:rPr>
            </w:pPr>
          </w:p>
        </w:tc>
        <w:tc>
          <w:tcPr>
            <w:tcW w:w="2980" w:type="dxa"/>
            <w:noWrap w:val="0"/>
            <w:vAlign w:val="center"/>
          </w:tcPr>
          <w:p>
            <w:pPr>
              <w:spacing w:line="360" w:lineRule="auto"/>
              <w:jc w:val="center"/>
              <w:rPr>
                <w:color w:val="auto"/>
                <w:sz w:val="24"/>
                <w:highlight w:val="none"/>
              </w:rPr>
            </w:pPr>
          </w:p>
        </w:tc>
      </w:tr>
    </w:tbl>
    <w:p>
      <w:pPr>
        <w:spacing w:line="360" w:lineRule="auto"/>
        <w:ind w:left="-317" w:leftChars="-151" w:firstLine="480" w:firstLineChars="200"/>
        <w:rPr>
          <w:color w:val="auto"/>
          <w:sz w:val="24"/>
          <w:highlight w:val="none"/>
          <w:u w:val="single"/>
        </w:rPr>
      </w:pPr>
      <w:r>
        <w:rPr>
          <w:color w:val="auto"/>
          <w:sz w:val="24"/>
          <w:highlight w:val="none"/>
        </w:rPr>
        <w:t>法定代表人（负责人或自然人）或其授权代表签字：</w:t>
      </w:r>
      <w:r>
        <w:rPr>
          <w:color w:val="auto"/>
          <w:sz w:val="24"/>
          <w:highlight w:val="none"/>
          <w:u w:val="single"/>
        </w:rPr>
        <w:t xml:space="preserve">                           </w:t>
      </w:r>
    </w:p>
    <w:p>
      <w:pPr>
        <w:spacing w:line="360" w:lineRule="auto"/>
        <w:rPr>
          <w:color w:val="auto"/>
          <w:sz w:val="24"/>
          <w:highlight w:val="none"/>
        </w:rPr>
      </w:pPr>
      <w:r>
        <w:rPr>
          <w:color w:val="auto"/>
          <w:sz w:val="24"/>
          <w:highlight w:val="none"/>
        </w:rPr>
        <w:t xml:space="preserve"> 竞标人公章：</w:t>
      </w:r>
      <w:r>
        <w:rPr>
          <w:b/>
          <w:color w:val="auto"/>
          <w:sz w:val="24"/>
          <w:highlight w:val="none"/>
          <w:u w:val="single"/>
        </w:rPr>
        <w:t xml:space="preserve">                      </w:t>
      </w:r>
      <w:r>
        <w:rPr>
          <w:color w:val="auto"/>
          <w:sz w:val="24"/>
          <w:highlight w:val="none"/>
        </w:rPr>
        <w:t xml:space="preserve">   </w:t>
      </w:r>
    </w:p>
    <w:p>
      <w:pPr>
        <w:spacing w:line="360" w:lineRule="auto"/>
        <w:ind w:firstLine="7320" w:firstLineChars="3050"/>
        <w:rPr>
          <w:color w:val="auto"/>
          <w:sz w:val="24"/>
          <w:highlight w:val="none"/>
        </w:rPr>
      </w:pPr>
      <w:r>
        <w:rPr>
          <w:color w:val="auto"/>
          <w:sz w:val="24"/>
          <w:highlight w:val="none"/>
        </w:rPr>
        <w:t>年   月   日</w:t>
      </w:r>
    </w:p>
    <w:p>
      <w:pPr>
        <w:pStyle w:val="3"/>
        <w:rPr>
          <w:color w:val="auto"/>
          <w:highlight w:val="none"/>
        </w:rPr>
      </w:pPr>
    </w:p>
    <w:p>
      <w:pPr>
        <w:spacing w:line="420" w:lineRule="exact"/>
        <w:ind w:firstLine="420" w:firstLineChars="200"/>
        <w:rPr>
          <w:color w:val="auto"/>
          <w:kern w:val="0"/>
          <w:szCs w:val="21"/>
          <w:highlight w:val="none"/>
        </w:rPr>
      </w:pPr>
    </w:p>
    <w:p>
      <w:pPr>
        <w:spacing w:line="420" w:lineRule="exact"/>
        <w:ind w:firstLine="420" w:firstLineChars="200"/>
        <w:rPr>
          <w:color w:val="auto"/>
          <w:kern w:val="0"/>
          <w:szCs w:val="21"/>
          <w:highlight w:val="none"/>
        </w:rPr>
      </w:pPr>
    </w:p>
    <w:p>
      <w:pPr>
        <w:spacing w:line="420" w:lineRule="exact"/>
        <w:ind w:firstLine="420" w:firstLineChars="200"/>
        <w:rPr>
          <w:color w:val="auto"/>
          <w:kern w:val="0"/>
          <w:szCs w:val="21"/>
          <w:highlight w:val="none"/>
        </w:rPr>
      </w:pPr>
      <w:r>
        <w:rPr>
          <w:color w:val="auto"/>
          <w:kern w:val="0"/>
          <w:szCs w:val="21"/>
          <w:highlight w:val="none"/>
        </w:rPr>
        <w:t>8.其他特殊资质证明；</w:t>
      </w:r>
    </w:p>
    <w:p>
      <w:pPr>
        <w:adjustRightInd w:val="0"/>
        <w:snapToGrid w:val="0"/>
        <w:spacing w:line="400" w:lineRule="exact"/>
        <w:ind w:firstLine="420" w:firstLineChars="200"/>
        <w:rPr>
          <w:color w:val="auto"/>
          <w:szCs w:val="21"/>
          <w:highlight w:val="none"/>
        </w:rPr>
      </w:pPr>
      <w:r>
        <w:rPr>
          <w:rFonts w:hint="eastAsia"/>
          <w:color w:val="auto"/>
          <w:szCs w:val="21"/>
          <w:highlight w:val="none"/>
        </w:rPr>
        <w:t>9</w:t>
      </w:r>
      <w:r>
        <w:rPr>
          <w:color w:val="auto"/>
          <w:szCs w:val="21"/>
          <w:highlight w:val="none"/>
        </w:rPr>
        <w:t>.竞标人认为可以证明其能力或业绩的其他材料；</w:t>
      </w:r>
    </w:p>
    <w:p>
      <w:pPr>
        <w:adjustRightInd w:val="0"/>
        <w:snapToGrid w:val="0"/>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rPr>
        <w:t>0</w:t>
      </w:r>
      <w:r>
        <w:rPr>
          <w:color w:val="auto"/>
          <w:szCs w:val="21"/>
          <w:highlight w:val="none"/>
        </w:rPr>
        <w:t>.项目实施人员一览表</w:t>
      </w:r>
      <w:r>
        <w:rPr>
          <w:b/>
          <w:bCs/>
          <w:color w:val="auto"/>
          <w:szCs w:val="21"/>
          <w:highlight w:val="none"/>
        </w:rPr>
        <w:t>（</w:t>
      </w:r>
      <w:r>
        <w:rPr>
          <w:rFonts w:hint="eastAsia"/>
          <w:b/>
          <w:bCs/>
          <w:color w:val="auto"/>
          <w:szCs w:val="21"/>
          <w:highlight w:val="none"/>
        </w:rPr>
        <w:t>附项目团队人员合同、社保缴纳记录、人员介绍及简历1份，需明确人员资质、经验及在本项目中的职责</w:t>
      </w:r>
      <w:r>
        <w:rPr>
          <w:b/>
          <w:bCs/>
          <w:color w:val="auto"/>
          <w:szCs w:val="21"/>
          <w:highlight w:val="none"/>
        </w:rPr>
        <w:t>）</w:t>
      </w:r>
      <w:r>
        <w:rPr>
          <w:color w:val="auto"/>
          <w:szCs w:val="21"/>
          <w:highlight w:val="none"/>
        </w:rPr>
        <w:t>；</w:t>
      </w:r>
    </w:p>
    <w:p>
      <w:pPr>
        <w:adjustRightInd w:val="0"/>
        <w:snapToGrid w:val="0"/>
        <w:spacing w:line="400" w:lineRule="exact"/>
        <w:ind w:firstLine="420" w:firstLineChars="200"/>
        <w:rPr>
          <w:color w:val="auto"/>
          <w:szCs w:val="21"/>
          <w:highlight w:val="none"/>
        </w:rPr>
      </w:pPr>
    </w:p>
    <w:p>
      <w:pPr>
        <w:jc w:val="center"/>
        <w:rPr>
          <w:rFonts w:hint="eastAsia" w:ascii="黑体" w:hAnsi="黑体" w:eastAsia="黑体" w:cs="黑体"/>
          <w:color w:val="auto"/>
          <w:sz w:val="36"/>
          <w:szCs w:val="36"/>
          <w:highlight w:val="none"/>
        </w:rPr>
      </w:pPr>
    </w:p>
    <w:p>
      <w:pPr>
        <w:jc w:val="center"/>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项目实施人员一览表</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362"/>
        <w:gridCol w:w="1742"/>
        <w:gridCol w:w="4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napToGrid w:val="0"/>
              <w:spacing w:before="50" w:after="159" w:afterLines="50"/>
              <w:jc w:val="center"/>
              <w:rPr>
                <w:color w:val="auto"/>
                <w:sz w:val="24"/>
                <w:szCs w:val="20"/>
                <w:highlight w:val="none"/>
              </w:rPr>
            </w:pPr>
            <w:r>
              <w:rPr>
                <w:color w:val="auto"/>
                <w:sz w:val="24"/>
                <w:szCs w:val="20"/>
                <w:highlight w:val="none"/>
              </w:rPr>
              <w:t>姓名</w:t>
            </w:r>
          </w:p>
        </w:tc>
        <w:tc>
          <w:tcPr>
            <w:tcW w:w="1362" w:type="dxa"/>
            <w:noWrap w:val="0"/>
            <w:vAlign w:val="center"/>
          </w:tcPr>
          <w:p>
            <w:pPr>
              <w:snapToGrid w:val="0"/>
              <w:spacing w:before="50" w:after="159" w:afterLines="50"/>
              <w:jc w:val="center"/>
              <w:rPr>
                <w:rFonts w:hint="eastAsia" w:eastAsia="宋体"/>
                <w:color w:val="auto"/>
                <w:sz w:val="24"/>
                <w:szCs w:val="20"/>
                <w:highlight w:val="none"/>
                <w:lang w:eastAsia="zh-CN"/>
              </w:rPr>
            </w:pPr>
            <w:r>
              <w:rPr>
                <w:rFonts w:hint="eastAsia"/>
                <w:color w:val="auto"/>
                <w:sz w:val="24"/>
                <w:szCs w:val="20"/>
                <w:highlight w:val="none"/>
                <w:lang w:val="en-US" w:eastAsia="zh-CN"/>
              </w:rPr>
              <w:t>岗位</w:t>
            </w:r>
          </w:p>
        </w:tc>
        <w:tc>
          <w:tcPr>
            <w:tcW w:w="1742" w:type="dxa"/>
            <w:noWrap w:val="0"/>
            <w:vAlign w:val="center"/>
          </w:tcPr>
          <w:p>
            <w:pPr>
              <w:snapToGrid w:val="0"/>
              <w:spacing w:before="50" w:after="159" w:afterLines="50"/>
              <w:jc w:val="center"/>
              <w:rPr>
                <w:rFonts w:hint="default" w:eastAsia="宋体"/>
                <w:color w:val="auto"/>
                <w:sz w:val="24"/>
                <w:szCs w:val="20"/>
                <w:highlight w:val="none"/>
                <w:lang w:val="en-US" w:eastAsia="zh-CN"/>
              </w:rPr>
            </w:pPr>
            <w:r>
              <w:rPr>
                <w:rFonts w:hint="eastAsia"/>
                <w:color w:val="auto"/>
                <w:sz w:val="24"/>
                <w:szCs w:val="20"/>
                <w:highlight w:val="none"/>
                <w:lang w:val="en-US" w:eastAsia="zh-CN"/>
              </w:rPr>
              <w:t>工作年份</w:t>
            </w:r>
          </w:p>
        </w:tc>
        <w:tc>
          <w:tcPr>
            <w:tcW w:w="4119" w:type="dxa"/>
            <w:noWrap w:val="0"/>
            <w:vAlign w:val="center"/>
          </w:tcPr>
          <w:p>
            <w:pPr>
              <w:snapToGrid w:val="0"/>
              <w:spacing w:before="50" w:after="159" w:afterLines="50"/>
              <w:jc w:val="center"/>
              <w:rPr>
                <w:rFonts w:hint="default" w:eastAsia="宋体"/>
                <w:color w:val="auto"/>
                <w:sz w:val="24"/>
                <w:szCs w:val="20"/>
                <w:highlight w:val="none"/>
                <w:lang w:val="en-US" w:eastAsia="zh-CN"/>
              </w:rPr>
            </w:pPr>
            <w:r>
              <w:rPr>
                <w:rFonts w:hint="eastAsia"/>
                <w:color w:val="auto"/>
                <w:sz w:val="24"/>
                <w:szCs w:val="20"/>
                <w:highlight w:val="none"/>
                <w:lang w:val="en-US" w:eastAsia="zh-CN"/>
              </w:rPr>
              <w:t>本项目负责工作内容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napToGrid w:val="0"/>
              <w:spacing w:before="50" w:after="159" w:afterLines="50"/>
              <w:jc w:val="center"/>
              <w:rPr>
                <w:color w:val="auto"/>
                <w:sz w:val="24"/>
                <w:szCs w:val="20"/>
                <w:highlight w:val="none"/>
              </w:rPr>
            </w:pPr>
          </w:p>
        </w:tc>
        <w:tc>
          <w:tcPr>
            <w:tcW w:w="1362" w:type="dxa"/>
            <w:noWrap w:val="0"/>
            <w:vAlign w:val="center"/>
          </w:tcPr>
          <w:p>
            <w:pPr>
              <w:snapToGrid w:val="0"/>
              <w:spacing w:before="50" w:after="159" w:afterLines="50"/>
              <w:jc w:val="center"/>
              <w:rPr>
                <w:color w:val="auto"/>
                <w:sz w:val="24"/>
                <w:szCs w:val="20"/>
                <w:highlight w:val="none"/>
              </w:rPr>
            </w:pPr>
          </w:p>
        </w:tc>
        <w:tc>
          <w:tcPr>
            <w:tcW w:w="1742" w:type="dxa"/>
            <w:noWrap w:val="0"/>
            <w:vAlign w:val="center"/>
          </w:tcPr>
          <w:p>
            <w:pPr>
              <w:snapToGrid w:val="0"/>
              <w:spacing w:before="50" w:after="159" w:afterLines="50"/>
              <w:jc w:val="center"/>
              <w:rPr>
                <w:color w:val="auto"/>
                <w:sz w:val="24"/>
                <w:szCs w:val="20"/>
                <w:highlight w:val="none"/>
              </w:rPr>
            </w:pPr>
          </w:p>
        </w:tc>
        <w:tc>
          <w:tcPr>
            <w:tcW w:w="4119" w:type="dxa"/>
            <w:noWrap w:val="0"/>
            <w:vAlign w:val="center"/>
          </w:tcPr>
          <w:p>
            <w:pPr>
              <w:snapToGrid w:val="0"/>
              <w:spacing w:before="50" w:after="159" w:afterLines="50"/>
              <w:jc w:val="center"/>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napToGrid w:val="0"/>
              <w:spacing w:before="50" w:after="159" w:afterLines="50"/>
              <w:jc w:val="center"/>
              <w:rPr>
                <w:color w:val="auto"/>
                <w:sz w:val="24"/>
                <w:szCs w:val="20"/>
                <w:highlight w:val="none"/>
              </w:rPr>
            </w:pPr>
          </w:p>
        </w:tc>
        <w:tc>
          <w:tcPr>
            <w:tcW w:w="1362" w:type="dxa"/>
            <w:noWrap w:val="0"/>
            <w:vAlign w:val="center"/>
          </w:tcPr>
          <w:p>
            <w:pPr>
              <w:snapToGrid w:val="0"/>
              <w:spacing w:before="50" w:after="159" w:afterLines="50"/>
              <w:jc w:val="center"/>
              <w:rPr>
                <w:color w:val="auto"/>
                <w:sz w:val="24"/>
                <w:szCs w:val="20"/>
                <w:highlight w:val="none"/>
              </w:rPr>
            </w:pPr>
          </w:p>
        </w:tc>
        <w:tc>
          <w:tcPr>
            <w:tcW w:w="1742" w:type="dxa"/>
            <w:noWrap w:val="0"/>
            <w:vAlign w:val="center"/>
          </w:tcPr>
          <w:p>
            <w:pPr>
              <w:snapToGrid w:val="0"/>
              <w:spacing w:before="50" w:after="159" w:afterLines="50"/>
              <w:jc w:val="center"/>
              <w:rPr>
                <w:color w:val="auto"/>
                <w:sz w:val="24"/>
                <w:szCs w:val="20"/>
                <w:highlight w:val="none"/>
              </w:rPr>
            </w:pPr>
          </w:p>
        </w:tc>
        <w:tc>
          <w:tcPr>
            <w:tcW w:w="4119" w:type="dxa"/>
            <w:noWrap w:val="0"/>
            <w:vAlign w:val="center"/>
          </w:tcPr>
          <w:p>
            <w:pPr>
              <w:snapToGrid w:val="0"/>
              <w:spacing w:before="50" w:after="159" w:afterLines="50"/>
              <w:jc w:val="center"/>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noWrap w:val="0"/>
            <w:vAlign w:val="center"/>
          </w:tcPr>
          <w:p>
            <w:pPr>
              <w:snapToGrid w:val="0"/>
              <w:spacing w:before="50" w:after="159" w:afterLines="50"/>
              <w:jc w:val="center"/>
              <w:rPr>
                <w:color w:val="auto"/>
                <w:sz w:val="24"/>
                <w:szCs w:val="20"/>
                <w:highlight w:val="none"/>
              </w:rPr>
            </w:pPr>
          </w:p>
        </w:tc>
        <w:tc>
          <w:tcPr>
            <w:tcW w:w="1362" w:type="dxa"/>
            <w:noWrap w:val="0"/>
            <w:vAlign w:val="center"/>
          </w:tcPr>
          <w:p>
            <w:pPr>
              <w:snapToGrid w:val="0"/>
              <w:spacing w:before="50" w:after="159" w:afterLines="50"/>
              <w:jc w:val="center"/>
              <w:rPr>
                <w:color w:val="auto"/>
                <w:sz w:val="24"/>
                <w:szCs w:val="20"/>
                <w:highlight w:val="none"/>
              </w:rPr>
            </w:pPr>
          </w:p>
        </w:tc>
        <w:tc>
          <w:tcPr>
            <w:tcW w:w="1742" w:type="dxa"/>
            <w:noWrap w:val="0"/>
            <w:vAlign w:val="center"/>
          </w:tcPr>
          <w:p>
            <w:pPr>
              <w:snapToGrid w:val="0"/>
              <w:spacing w:before="50" w:after="159" w:afterLines="50"/>
              <w:jc w:val="center"/>
              <w:rPr>
                <w:color w:val="auto"/>
                <w:sz w:val="24"/>
                <w:szCs w:val="20"/>
                <w:highlight w:val="none"/>
              </w:rPr>
            </w:pPr>
          </w:p>
        </w:tc>
        <w:tc>
          <w:tcPr>
            <w:tcW w:w="4119" w:type="dxa"/>
            <w:noWrap w:val="0"/>
            <w:vAlign w:val="center"/>
          </w:tcPr>
          <w:p>
            <w:pPr>
              <w:snapToGrid w:val="0"/>
              <w:spacing w:before="50" w:after="159" w:afterLines="50"/>
              <w:jc w:val="center"/>
              <w:rPr>
                <w:color w:val="auto"/>
                <w:sz w:val="24"/>
                <w:szCs w:val="20"/>
                <w:highlight w:val="none"/>
              </w:rPr>
            </w:pPr>
          </w:p>
        </w:tc>
      </w:tr>
    </w:tbl>
    <w:p>
      <w:pPr>
        <w:snapToGrid w:val="0"/>
        <w:spacing w:before="50" w:after="159" w:afterLines="50"/>
        <w:jc w:val="left"/>
        <w:rPr>
          <w:color w:val="auto"/>
          <w:sz w:val="24"/>
          <w:szCs w:val="20"/>
          <w:highlight w:val="none"/>
        </w:rPr>
      </w:pPr>
      <w:r>
        <w:rPr>
          <w:color w:val="auto"/>
          <w:sz w:val="24"/>
          <w:szCs w:val="20"/>
          <w:highlight w:val="none"/>
        </w:rPr>
        <w:t>注：在填写时，如本表格不适合投标单位的实际情况，可根据本表格式自行制表填写。</w:t>
      </w:r>
    </w:p>
    <w:p>
      <w:pPr>
        <w:snapToGrid w:val="0"/>
        <w:spacing w:before="50" w:after="50"/>
        <w:rPr>
          <w:color w:val="auto"/>
          <w:spacing w:val="20"/>
          <w:sz w:val="24"/>
          <w:szCs w:val="20"/>
          <w:highlight w:val="none"/>
          <w:u w:val="single"/>
        </w:rPr>
      </w:pPr>
      <w:r>
        <w:rPr>
          <w:color w:val="auto"/>
          <w:sz w:val="24"/>
          <w:highlight w:val="none"/>
        </w:rPr>
        <w:t>法定代表人或被授权人</w:t>
      </w:r>
      <w:r>
        <w:rPr>
          <w:color w:val="auto"/>
          <w:spacing w:val="20"/>
          <w:sz w:val="24"/>
          <w:highlight w:val="none"/>
        </w:rPr>
        <w:t>签名：</w:t>
      </w:r>
      <w:r>
        <w:rPr>
          <w:color w:val="auto"/>
          <w:spacing w:val="20"/>
          <w:sz w:val="24"/>
          <w:highlight w:val="none"/>
          <w:u w:val="single"/>
        </w:rPr>
        <w:t xml:space="preserve">        </w:t>
      </w:r>
    </w:p>
    <w:p>
      <w:pPr>
        <w:snapToGrid w:val="0"/>
        <w:spacing w:before="50" w:after="159" w:afterLines="50"/>
        <w:jc w:val="left"/>
        <w:rPr>
          <w:color w:val="auto"/>
          <w:spacing w:val="20"/>
          <w:sz w:val="24"/>
          <w:highlight w:val="none"/>
          <w:u w:val="single"/>
        </w:rPr>
      </w:pPr>
      <w:r>
        <w:rPr>
          <w:rFonts w:hint="eastAsia"/>
          <w:color w:val="auto"/>
          <w:spacing w:val="20"/>
          <w:sz w:val="24"/>
          <w:highlight w:val="none"/>
        </w:rPr>
        <w:t>竞标人</w:t>
      </w:r>
      <w:r>
        <w:rPr>
          <w:color w:val="auto"/>
          <w:spacing w:val="20"/>
          <w:sz w:val="24"/>
          <w:highlight w:val="none"/>
        </w:rPr>
        <w:t>盖公章：</w:t>
      </w:r>
      <w:r>
        <w:rPr>
          <w:color w:val="auto"/>
          <w:spacing w:val="20"/>
          <w:sz w:val="24"/>
          <w:highlight w:val="none"/>
          <w:u w:val="single"/>
        </w:rPr>
        <w:t xml:space="preserve">            </w:t>
      </w:r>
      <w:r>
        <w:rPr>
          <w:color w:val="auto"/>
          <w:spacing w:val="20"/>
          <w:sz w:val="24"/>
          <w:highlight w:val="none"/>
        </w:rPr>
        <w:t xml:space="preserve">              日 期：</w:t>
      </w:r>
      <w:r>
        <w:rPr>
          <w:color w:val="auto"/>
          <w:spacing w:val="20"/>
          <w:sz w:val="24"/>
          <w:highlight w:val="none"/>
          <w:u w:val="single"/>
        </w:rPr>
        <w:t xml:space="preserve">         </w:t>
      </w:r>
    </w:p>
    <w:p>
      <w:pPr>
        <w:pStyle w:val="3"/>
        <w:rPr>
          <w:color w:val="auto"/>
          <w:highlight w:val="none"/>
        </w:rPr>
      </w:pPr>
    </w:p>
    <w:p>
      <w:pPr>
        <w:pStyle w:val="12"/>
        <w:ind w:left="0" w:leftChars="0" w:firstLine="0" w:firstLineChars="0"/>
        <w:rPr>
          <w:color w:val="auto"/>
          <w:highlight w:val="none"/>
        </w:rPr>
      </w:pPr>
    </w:p>
    <w:p>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1</w:t>
      </w:r>
      <w:r>
        <w:rPr>
          <w:color w:val="auto"/>
          <w:szCs w:val="21"/>
          <w:highlight w:val="none"/>
        </w:rPr>
        <w:t>.竞标人对本项目的合理化建议和改进措施；</w:t>
      </w:r>
    </w:p>
    <w:p>
      <w:pPr>
        <w:spacing w:line="400" w:lineRule="exact"/>
        <w:ind w:firstLine="420" w:firstLineChars="200"/>
        <w:rPr>
          <w:color w:val="auto"/>
          <w:szCs w:val="21"/>
          <w:highlight w:val="none"/>
        </w:rPr>
      </w:pPr>
      <w:r>
        <w:rPr>
          <w:color w:val="auto"/>
          <w:szCs w:val="21"/>
          <w:highlight w:val="none"/>
        </w:rPr>
        <w:t>1</w:t>
      </w:r>
      <w:r>
        <w:rPr>
          <w:rFonts w:hint="eastAsia"/>
          <w:color w:val="auto"/>
          <w:szCs w:val="21"/>
          <w:highlight w:val="none"/>
          <w:lang w:val="en-US" w:eastAsia="zh-CN"/>
        </w:rPr>
        <w:t>2</w:t>
      </w:r>
      <w:r>
        <w:rPr>
          <w:color w:val="auto"/>
          <w:szCs w:val="21"/>
          <w:highlight w:val="none"/>
        </w:rPr>
        <w:t>.本竞争性磋商文件要求提供的其他资料和需要说明的问题；</w:t>
      </w:r>
    </w:p>
    <w:p>
      <w:pPr>
        <w:spacing w:line="420" w:lineRule="exact"/>
        <w:ind w:firstLine="526" w:firstLineChars="250"/>
        <w:rPr>
          <w:color w:val="auto"/>
          <w:szCs w:val="21"/>
          <w:highlight w:val="none"/>
        </w:rPr>
      </w:pPr>
      <w:r>
        <w:rPr>
          <w:b/>
          <w:color w:val="auto"/>
          <w:szCs w:val="21"/>
          <w:highlight w:val="none"/>
        </w:rPr>
        <w:t>（以上附件可根据竞争性磋商文件要求必须提供的资料排序，其余资料酌情提供，</w:t>
      </w:r>
      <w:r>
        <w:rPr>
          <w:b/>
          <w:bCs/>
          <w:color w:val="auto"/>
          <w:kern w:val="0"/>
          <w:szCs w:val="21"/>
          <w:highlight w:val="none"/>
        </w:rPr>
        <w:t>且证明材料均需加盖单位公章，否则不予以作为评分依据</w:t>
      </w:r>
      <w:r>
        <w:rPr>
          <w:b/>
          <w:color w:val="auto"/>
          <w:szCs w:val="21"/>
          <w:highlight w:val="none"/>
        </w:rPr>
        <w:t>）</w:t>
      </w:r>
    </w:p>
    <w:p>
      <w:pPr>
        <w:widowControl/>
        <w:spacing w:line="500" w:lineRule="exact"/>
        <w:ind w:firstLine="420" w:firstLineChars="200"/>
        <w:jc w:val="left"/>
        <w:rPr>
          <w:color w:val="auto"/>
          <w:kern w:val="0"/>
          <w:szCs w:val="21"/>
          <w:highlight w:val="none"/>
        </w:rPr>
      </w:pPr>
      <w:r>
        <w:rPr>
          <w:color w:val="auto"/>
          <w:kern w:val="0"/>
          <w:szCs w:val="21"/>
          <w:highlight w:val="none"/>
        </w:rPr>
        <w:br w:type="page"/>
      </w:r>
    </w:p>
    <w:p>
      <w:pPr>
        <w:spacing w:line="500" w:lineRule="exact"/>
        <w:ind w:firstLine="420" w:firstLineChars="200"/>
        <w:jc w:val="left"/>
        <w:rPr>
          <w:color w:val="auto"/>
          <w:szCs w:val="21"/>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autoSpaceDE w:val="0"/>
        <w:autoSpaceDN w:val="0"/>
        <w:adjustRightInd w:val="0"/>
        <w:snapToGrid w:val="0"/>
        <w:spacing w:line="300" w:lineRule="auto"/>
        <w:ind w:firstLine="2864" w:firstLineChars="895"/>
        <w:rPr>
          <w:color w:val="auto"/>
          <w:kern w:val="0"/>
          <w:sz w:val="32"/>
          <w:szCs w:val="32"/>
          <w:highlight w:val="none"/>
        </w:rPr>
      </w:pPr>
    </w:p>
    <w:p>
      <w:pPr>
        <w:pStyle w:val="2"/>
        <w:rPr>
          <w:color w:val="auto"/>
          <w:highlight w:val="none"/>
        </w:rPr>
      </w:pPr>
      <w:bookmarkStart w:id="56" w:name="_Toc77937046"/>
      <w:bookmarkStart w:id="57" w:name="OLE_LINK15"/>
      <w:r>
        <w:rPr>
          <w:color w:val="auto"/>
          <w:highlight w:val="none"/>
        </w:rPr>
        <w:t>第六章  合同主要条款</w:t>
      </w:r>
      <w:bookmarkEnd w:id="56"/>
    </w:p>
    <w:bookmarkEnd w:id="57"/>
    <w:p>
      <w:pPr>
        <w:spacing w:line="300" w:lineRule="auto"/>
        <w:ind w:left="420" w:hanging="420"/>
        <w:jc w:val="center"/>
        <w:rPr>
          <w:color w:val="auto"/>
          <w:kern w:val="0"/>
          <w:sz w:val="32"/>
          <w:szCs w:val="32"/>
          <w:highlight w:val="none"/>
        </w:rPr>
      </w:pPr>
      <w:r>
        <w:rPr>
          <w:rFonts w:hint="eastAsia"/>
          <w:color w:val="auto"/>
          <w:kern w:val="0"/>
          <w:sz w:val="32"/>
          <w:szCs w:val="32"/>
          <w:highlight w:val="none"/>
        </w:rPr>
        <w:t>（合同以最终签订版本为准）</w:t>
      </w:r>
    </w:p>
    <w:p>
      <w:pPr>
        <w:spacing w:line="300" w:lineRule="auto"/>
        <w:ind w:left="420" w:hanging="420"/>
        <w:jc w:val="center"/>
        <w:rPr>
          <w:color w:val="auto"/>
          <w:kern w:val="0"/>
          <w:sz w:val="32"/>
          <w:szCs w:val="32"/>
          <w:highlight w:val="none"/>
        </w:rPr>
      </w:pPr>
    </w:p>
    <w:p>
      <w:pPr>
        <w:spacing w:line="300" w:lineRule="auto"/>
        <w:ind w:left="420" w:hanging="420"/>
        <w:jc w:val="center"/>
        <w:rPr>
          <w:color w:val="auto"/>
          <w:kern w:val="0"/>
          <w:sz w:val="32"/>
          <w:szCs w:val="32"/>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spacing w:line="300" w:lineRule="auto"/>
        <w:rPr>
          <w:color w:val="auto"/>
          <w:szCs w:val="21"/>
          <w:highlight w:val="none"/>
        </w:rPr>
      </w:pPr>
    </w:p>
    <w:p>
      <w:pPr>
        <w:rPr>
          <w:color w:val="auto"/>
          <w:highlight w:val="none"/>
        </w:rPr>
      </w:pPr>
    </w:p>
    <w:sectPr>
      <w:footerReference r:id="rId10" w:type="default"/>
      <w:pgSz w:w="11850" w:h="16783"/>
      <w:pgMar w:top="1247" w:right="1247" w:bottom="1247" w:left="1247"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仿宋_GB2312">
    <w:altName w:val="汉仪仿宋KW"/>
    <w:panose1 w:val="02000000000000000000"/>
    <w:charset w:val="86"/>
    <w:family w:val="auto"/>
    <w:pitch w:val="default"/>
    <w:sig w:usb0="00000000" w:usb1="00000000" w:usb2="00000012"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17</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 PAGE   \* MERGEFORMAT </w:instrText>
                          </w:r>
                          <w:r>
                            <w:fldChar w:fldCharType="separate"/>
                          </w:r>
                          <w:r>
                            <w:rPr>
                              <w:lang w:val="zh-CN"/>
                            </w:rPr>
                            <w:t>17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17</w:t>
                    </w:r>
                    <w:r>
                      <w:rPr>
                        <w:lang w:val="zh-CN"/>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7A5FC"/>
    <w:multiLevelType w:val="singleLevel"/>
    <w:tmpl w:val="8607A5FC"/>
    <w:lvl w:ilvl="0" w:tentative="0">
      <w:start w:val="4"/>
      <w:numFmt w:val="decimal"/>
      <w:lvlText w:val="%1."/>
      <w:lvlJc w:val="left"/>
      <w:pPr>
        <w:tabs>
          <w:tab w:val="left" w:pos="312"/>
        </w:tabs>
      </w:pPr>
    </w:lvl>
  </w:abstractNum>
  <w:abstractNum w:abstractNumId="1">
    <w:nsid w:val="B29ADB49"/>
    <w:multiLevelType w:val="singleLevel"/>
    <w:tmpl w:val="B29ADB49"/>
    <w:lvl w:ilvl="0" w:tentative="0">
      <w:start w:val="2"/>
      <w:numFmt w:val="chineseCounting"/>
      <w:suff w:val="nothing"/>
      <w:lvlText w:val="%1、"/>
      <w:lvlJc w:val="left"/>
      <w:pPr>
        <w:ind w:left="640" w:firstLine="0"/>
      </w:pPr>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ZjOTk5ZTkwODIwZDVjNjE3M2MzMzg2MDU0ZDYifQ=="/>
  </w:docVars>
  <w:rsids>
    <w:rsidRoot w:val="09EA2839"/>
    <w:rsid w:val="0246176A"/>
    <w:rsid w:val="05B2719F"/>
    <w:rsid w:val="06587D46"/>
    <w:rsid w:val="07BD75F4"/>
    <w:rsid w:val="07DF070B"/>
    <w:rsid w:val="09EA2839"/>
    <w:rsid w:val="0A590013"/>
    <w:rsid w:val="0A657055"/>
    <w:rsid w:val="0AA572D2"/>
    <w:rsid w:val="0B316DB7"/>
    <w:rsid w:val="0D7A2C98"/>
    <w:rsid w:val="0E0B7D94"/>
    <w:rsid w:val="0E39045D"/>
    <w:rsid w:val="0E794CFD"/>
    <w:rsid w:val="0EC341CA"/>
    <w:rsid w:val="0FC976A6"/>
    <w:rsid w:val="101F3682"/>
    <w:rsid w:val="108A4FA0"/>
    <w:rsid w:val="124F64A1"/>
    <w:rsid w:val="12A7D122"/>
    <w:rsid w:val="14363963"/>
    <w:rsid w:val="189664AC"/>
    <w:rsid w:val="1BA013E4"/>
    <w:rsid w:val="1D37025D"/>
    <w:rsid w:val="1E8F4DFE"/>
    <w:rsid w:val="21545910"/>
    <w:rsid w:val="23AE7851"/>
    <w:rsid w:val="26F176CF"/>
    <w:rsid w:val="28C8445F"/>
    <w:rsid w:val="29CC61D1"/>
    <w:rsid w:val="2C191269"/>
    <w:rsid w:val="2C203DBC"/>
    <w:rsid w:val="2E093550"/>
    <w:rsid w:val="2E6D1E34"/>
    <w:rsid w:val="30843362"/>
    <w:rsid w:val="319D383A"/>
    <w:rsid w:val="32096934"/>
    <w:rsid w:val="324D6B83"/>
    <w:rsid w:val="33182B1E"/>
    <w:rsid w:val="33435756"/>
    <w:rsid w:val="36CA3A99"/>
    <w:rsid w:val="383C2774"/>
    <w:rsid w:val="38783335"/>
    <w:rsid w:val="3BF4A73C"/>
    <w:rsid w:val="3C795D45"/>
    <w:rsid w:val="3CFF2517"/>
    <w:rsid w:val="3D71513B"/>
    <w:rsid w:val="3FBCE09C"/>
    <w:rsid w:val="42653ECA"/>
    <w:rsid w:val="43972F54"/>
    <w:rsid w:val="43E061B7"/>
    <w:rsid w:val="47D209FF"/>
    <w:rsid w:val="48F94E45"/>
    <w:rsid w:val="49C2553A"/>
    <w:rsid w:val="4AD04F7F"/>
    <w:rsid w:val="4BA92805"/>
    <w:rsid w:val="4D697710"/>
    <w:rsid w:val="4EF456FF"/>
    <w:rsid w:val="4F3B6C00"/>
    <w:rsid w:val="510876BF"/>
    <w:rsid w:val="523D5028"/>
    <w:rsid w:val="529A3509"/>
    <w:rsid w:val="52FD1891"/>
    <w:rsid w:val="5338205E"/>
    <w:rsid w:val="551543F4"/>
    <w:rsid w:val="56A96530"/>
    <w:rsid w:val="57586D99"/>
    <w:rsid w:val="58093FC9"/>
    <w:rsid w:val="584E5E80"/>
    <w:rsid w:val="58766924"/>
    <w:rsid w:val="5A9A1B9A"/>
    <w:rsid w:val="5BFDF554"/>
    <w:rsid w:val="5C5D13B3"/>
    <w:rsid w:val="5C8A3034"/>
    <w:rsid w:val="5DE936A7"/>
    <w:rsid w:val="5F37766E"/>
    <w:rsid w:val="5FE62E42"/>
    <w:rsid w:val="617F52CB"/>
    <w:rsid w:val="61927223"/>
    <w:rsid w:val="661A1BE8"/>
    <w:rsid w:val="6677AA27"/>
    <w:rsid w:val="668723FC"/>
    <w:rsid w:val="66D24120"/>
    <w:rsid w:val="66E225B5"/>
    <w:rsid w:val="67547394"/>
    <w:rsid w:val="675EE7B1"/>
    <w:rsid w:val="67AB0BF9"/>
    <w:rsid w:val="67DB036B"/>
    <w:rsid w:val="690D7691"/>
    <w:rsid w:val="69B83AA1"/>
    <w:rsid w:val="6BCF3EDA"/>
    <w:rsid w:val="6BF520AD"/>
    <w:rsid w:val="6F697C94"/>
    <w:rsid w:val="6F8D5088"/>
    <w:rsid w:val="6FC22F83"/>
    <w:rsid w:val="6FD87583"/>
    <w:rsid w:val="718633AD"/>
    <w:rsid w:val="733830D9"/>
    <w:rsid w:val="73E206B5"/>
    <w:rsid w:val="74EBEE35"/>
    <w:rsid w:val="76AD45C3"/>
    <w:rsid w:val="77460382"/>
    <w:rsid w:val="780365B2"/>
    <w:rsid w:val="7B0B6F94"/>
    <w:rsid w:val="7BB816DF"/>
    <w:rsid w:val="7DEB44C1"/>
    <w:rsid w:val="7DF1EABE"/>
    <w:rsid w:val="7E240B01"/>
    <w:rsid w:val="7F143B0B"/>
    <w:rsid w:val="7F7FCD45"/>
    <w:rsid w:val="7F8EE686"/>
    <w:rsid w:val="7F9F55E8"/>
    <w:rsid w:val="7FAB4E18"/>
    <w:rsid w:val="7FFB4181"/>
    <w:rsid w:val="997D1A01"/>
    <w:rsid w:val="B15FEAAB"/>
    <w:rsid w:val="B3ED7B76"/>
    <w:rsid w:val="B5FF8681"/>
    <w:rsid w:val="B9FF5027"/>
    <w:rsid w:val="BDFD28AE"/>
    <w:rsid w:val="BEFF8C6F"/>
    <w:rsid w:val="BFD6EFAE"/>
    <w:rsid w:val="D6FB2F58"/>
    <w:rsid w:val="DBF3FE37"/>
    <w:rsid w:val="DF2BAA13"/>
    <w:rsid w:val="F73FE528"/>
    <w:rsid w:val="F7AF397D"/>
    <w:rsid w:val="FE7EF491"/>
    <w:rsid w:val="FE7FCB15"/>
    <w:rsid w:val="FF77059E"/>
    <w:rsid w:val="FFF20C37"/>
    <w:rsid w:val="FFFF26D9"/>
    <w:rsid w:val="FFFFD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sz w:val="24"/>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99"/>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First Indent"/>
    <w:basedOn w:val="6"/>
    <w:next w:val="1"/>
    <w:qFormat/>
    <w:uiPriority w:val="0"/>
    <w:pPr>
      <w:spacing w:after="120" w:line="240" w:lineRule="auto"/>
      <w:ind w:firstLine="420" w:firstLineChars="100"/>
    </w:pPr>
    <w:rPr>
      <w:sz w:val="21"/>
    </w:rPr>
  </w:style>
  <w:style w:type="character" w:styleId="15">
    <w:name w:val="page number"/>
    <w:qFormat/>
    <w:uiPriority w:val="0"/>
  </w:style>
  <w:style w:type="character" w:styleId="16">
    <w:name w:val="Hyperlink"/>
    <w:qFormat/>
    <w:uiPriority w:val="99"/>
    <w:rPr>
      <w:color w:val="0000FF"/>
      <w:u w:val="single"/>
    </w:rPr>
  </w:style>
  <w:style w:type="paragraph" w:customStyle="1" w:styleId="17">
    <w:name w:val="1"/>
    <w:basedOn w:val="1"/>
    <w:next w:val="8"/>
    <w:qFormat/>
    <w:uiPriority w:val="0"/>
    <w:rPr>
      <w:rFonts w:ascii="宋体" w:hAnsi="Courier New"/>
      <w:szCs w:val="20"/>
    </w:rPr>
  </w:style>
  <w:style w:type="paragraph" w:styleId="18">
    <w:name w:val="List Paragraph"/>
    <w:basedOn w:val="1"/>
    <w:qFormat/>
    <w:uiPriority w:val="0"/>
    <w:pPr>
      <w:ind w:firstLine="420" w:firstLineChars="200"/>
    </w:pPr>
  </w:style>
  <w:style w:type="paragraph" w:customStyle="1" w:styleId="19">
    <w:name w:val="标书-正文"/>
    <w:basedOn w:val="1"/>
    <w:qFormat/>
    <w:uiPriority w:val="0"/>
    <w:pPr>
      <w:spacing w:line="360" w:lineRule="auto"/>
      <w:ind w:firstLine="480" w:firstLineChars="200"/>
    </w:pPr>
    <w:rPr>
      <w:rFonts w:ascii="Calibri" w:hAnsi="Calibri"/>
      <w:kern w:val="0"/>
      <w:sz w:val="24"/>
      <w:szCs w:val="20"/>
    </w:rPr>
  </w:style>
  <w:style w:type="paragraph" w:customStyle="1" w:styleId="20">
    <w:name w:val="纯文本1"/>
    <w:basedOn w:val="1"/>
    <w:qFormat/>
    <w:uiPriority w:val="0"/>
    <w:rPr>
      <w:rFonts w:ascii="宋体" w:hAnsi="宋体"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11534</Words>
  <Characters>12624</Characters>
  <Lines>0</Lines>
  <Paragraphs>0</Paragraphs>
  <TotalTime>0</TotalTime>
  <ScaleCrop>false</ScaleCrop>
  <LinksUpToDate>false</LinksUpToDate>
  <CharactersWithSpaces>13714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2024-12-04T07:29:00Z</dcterms:created>
  <dc:creator>U</dc:creator>
  <cp:lastModifiedBy>大表姐</cp:lastModifiedBy>
  <dcterms:modified xsi:type="dcterms:W3CDTF">2025-12-22T18:36:40Z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7DAD23A1CE126E2E7A9820693496C65A_43</vt:lpwstr>
  </property>
  <property fmtid="{D5CDD505-2E9C-101B-9397-08002B2CF9AE}" pid="4" name="KSOTemplateDocerSaveRecord">
    <vt:lpwstr>eyJoZGlkIjoiNDVhY2I0MWZlZjE0ODBhOTYxOTU1ZWFhNjNkZjliZGUiLCJ1c2VySWQiOiIxNzg0NzQ2NCJ9</vt:lpwstr>
  </property>
</Properties>
</file>