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color w:val="auto"/>
          <w:sz w:val="32"/>
          <w:szCs w:val="32"/>
        </w:rPr>
      </w:pPr>
    </w:p>
    <w:p>
      <w:pPr>
        <w:spacing w:before="159" w:beforeLines="50"/>
        <w:jc w:val="center"/>
        <w:rPr>
          <w:color w:val="auto"/>
          <w:spacing w:val="-10"/>
          <w:sz w:val="72"/>
          <w:szCs w:val="72"/>
        </w:rPr>
      </w:pPr>
    </w:p>
    <w:p>
      <w:pPr>
        <w:tabs>
          <w:tab w:val="left" w:pos="8400"/>
        </w:tabs>
        <w:spacing w:before="159" w:beforeLines="50"/>
        <w:jc w:val="center"/>
        <w:rPr>
          <w:color w:val="auto"/>
          <w:sz w:val="72"/>
          <w:szCs w:val="72"/>
        </w:rPr>
      </w:pPr>
      <w:bookmarkStart w:id="0" w:name="OLE_LINK14"/>
      <w:r>
        <w:rPr>
          <w:color w:val="auto"/>
          <w:sz w:val="72"/>
          <w:szCs w:val="72"/>
        </w:rPr>
        <w:t>竞争性磋商文件</w:t>
      </w:r>
      <w:bookmarkEnd w:id="0"/>
    </w:p>
    <w:p>
      <w:pPr>
        <w:snapToGrid w:val="0"/>
        <w:spacing w:before="159" w:beforeLines="50" w:line="360" w:lineRule="auto"/>
        <w:rPr>
          <w:color w:val="auto"/>
          <w:sz w:val="30"/>
          <w:szCs w:val="72"/>
        </w:rPr>
      </w:pPr>
    </w:p>
    <w:p>
      <w:pPr>
        <w:snapToGrid w:val="0"/>
        <w:spacing w:before="159" w:beforeLines="50" w:line="360" w:lineRule="auto"/>
        <w:jc w:val="center"/>
        <w:rPr>
          <w:color w:val="auto"/>
          <w:sz w:val="30"/>
          <w:szCs w:val="72"/>
        </w:rPr>
      </w:pPr>
    </w:p>
    <w:p>
      <w:pPr>
        <w:snapToGrid w:val="0"/>
        <w:spacing w:before="159" w:beforeLines="50" w:line="360" w:lineRule="auto"/>
        <w:rPr>
          <w:color w:val="auto"/>
          <w:sz w:val="30"/>
          <w:szCs w:val="72"/>
        </w:rPr>
      </w:pPr>
    </w:p>
    <w:p>
      <w:pPr>
        <w:snapToGrid w:val="0"/>
        <w:spacing w:before="159" w:beforeLines="50" w:line="400" w:lineRule="exact"/>
        <w:ind w:firstLine="1800" w:firstLineChars="600"/>
        <w:rPr>
          <w:rFonts w:hint="default" w:ascii="宋体" w:hAnsi="宋体" w:eastAsia="宋体"/>
          <w:color w:val="auto"/>
          <w:sz w:val="30"/>
          <w:szCs w:val="30"/>
          <w:highlight w:val="none"/>
          <w:lang w:val="en-US" w:eastAsia="zh-CN"/>
        </w:rPr>
      </w:pPr>
      <w:bookmarkStart w:id="1" w:name="OLE_LINK2"/>
      <w:r>
        <w:rPr>
          <w:color w:val="auto"/>
          <w:sz w:val="30"/>
          <w:szCs w:val="72"/>
        </w:rPr>
        <w:t>项目名称：</w:t>
      </w:r>
      <w:bookmarkStart w:id="2" w:name="OLE_LINK5"/>
      <w:bookmarkStart w:id="3" w:name="OLE_LINK4"/>
      <w:r>
        <w:rPr>
          <w:rFonts w:hint="default"/>
          <w:color w:val="auto"/>
          <w:sz w:val="30"/>
          <w:szCs w:val="72"/>
          <w:highlight w:val="none"/>
          <w:lang w:val="en-US" w:eastAsia="zh-CN"/>
        </w:rPr>
        <w:t>“中国—东盟经贸通”公共服务线上平台（一期）</w:t>
      </w:r>
    </w:p>
    <w:bookmarkEnd w:id="1"/>
    <w:bookmarkEnd w:id="2"/>
    <w:bookmarkEnd w:id="3"/>
    <w:p>
      <w:pPr>
        <w:snapToGrid w:val="0"/>
        <w:spacing w:before="159" w:beforeLines="50" w:line="360" w:lineRule="auto"/>
        <w:ind w:firstLine="1800" w:firstLineChars="600"/>
        <w:rPr>
          <w:color w:val="auto"/>
          <w:sz w:val="30"/>
          <w:szCs w:val="72"/>
        </w:rPr>
      </w:pPr>
      <w:r>
        <w:rPr>
          <w:color w:val="auto"/>
          <w:sz w:val="30"/>
          <w:szCs w:val="72"/>
        </w:rPr>
        <w:t>采购单位：广西东博国际</w:t>
      </w:r>
      <w:bookmarkStart w:id="4" w:name="OLE_LINK3"/>
      <w:r>
        <w:rPr>
          <w:rFonts w:hint="eastAsia"/>
          <w:color w:val="auto"/>
          <w:sz w:val="30"/>
          <w:szCs w:val="72"/>
        </w:rPr>
        <w:t>经贸投资</w:t>
      </w:r>
      <w:r>
        <w:rPr>
          <w:color w:val="auto"/>
          <w:sz w:val="30"/>
          <w:szCs w:val="72"/>
        </w:rPr>
        <w:t>有限公司</w:t>
      </w:r>
      <w:bookmarkEnd w:id="4"/>
    </w:p>
    <w:p>
      <w:pPr>
        <w:snapToGrid w:val="0"/>
        <w:spacing w:before="159" w:beforeLines="50" w:line="360" w:lineRule="auto"/>
        <w:ind w:firstLine="1080" w:firstLineChars="360"/>
        <w:rPr>
          <w:color w:val="auto"/>
          <w:sz w:val="30"/>
          <w:szCs w:val="72"/>
        </w:rPr>
      </w:pPr>
    </w:p>
    <w:p>
      <w:pPr>
        <w:snapToGrid w:val="0"/>
        <w:spacing w:before="159" w:beforeLines="50" w:line="360" w:lineRule="auto"/>
        <w:ind w:firstLine="1080" w:firstLineChars="360"/>
        <w:rPr>
          <w:color w:val="auto"/>
          <w:sz w:val="30"/>
          <w:szCs w:val="72"/>
        </w:rPr>
      </w:pPr>
    </w:p>
    <w:p>
      <w:pPr>
        <w:snapToGrid w:val="0"/>
        <w:spacing w:before="159" w:beforeLines="50" w:line="360" w:lineRule="auto"/>
        <w:ind w:firstLine="1080" w:firstLineChars="360"/>
        <w:rPr>
          <w:color w:val="auto"/>
          <w:sz w:val="30"/>
          <w:szCs w:val="72"/>
        </w:rPr>
      </w:pPr>
    </w:p>
    <w:p>
      <w:pPr>
        <w:snapToGrid w:val="0"/>
        <w:spacing w:before="159" w:beforeLines="50" w:line="360" w:lineRule="auto"/>
        <w:ind w:firstLine="1080" w:firstLineChars="360"/>
        <w:rPr>
          <w:color w:val="auto"/>
          <w:sz w:val="30"/>
          <w:szCs w:val="72"/>
        </w:rPr>
      </w:pPr>
    </w:p>
    <w:p>
      <w:pPr>
        <w:snapToGrid w:val="0"/>
        <w:spacing w:before="159" w:beforeLines="50" w:line="360" w:lineRule="auto"/>
        <w:jc w:val="center"/>
        <w:rPr>
          <w:color w:val="auto"/>
          <w:sz w:val="32"/>
          <w:szCs w:val="32"/>
        </w:rPr>
      </w:pPr>
      <w:r>
        <w:rPr>
          <w:rFonts w:hint="eastAsia"/>
          <w:color w:val="auto"/>
          <w:sz w:val="32"/>
          <w:szCs w:val="32"/>
        </w:rPr>
        <w:t>2026年8月</w:t>
      </w:r>
    </w:p>
    <w:p>
      <w:pPr>
        <w:snapToGrid w:val="0"/>
        <w:spacing w:before="159" w:beforeLines="50" w:line="360" w:lineRule="auto"/>
        <w:rPr>
          <w:color w:val="auto"/>
          <w:sz w:val="30"/>
          <w:szCs w:val="72"/>
        </w:rPr>
      </w:pPr>
    </w:p>
    <w:p>
      <w:pPr>
        <w:pStyle w:val="9"/>
        <w:spacing w:before="120" w:after="120" w:line="360" w:lineRule="auto"/>
        <w:jc w:val="center"/>
        <w:rPr>
          <w:rFonts w:ascii="Times New Roman" w:hAnsi="Times New Roman" w:cs="Times New Roman"/>
          <w:color w:val="auto"/>
        </w:rPr>
      </w:pPr>
    </w:p>
    <w:p>
      <w:pPr>
        <w:pStyle w:val="9"/>
        <w:spacing w:before="120" w:after="120" w:line="360" w:lineRule="auto"/>
        <w:jc w:val="center"/>
        <w:rPr>
          <w:rFonts w:ascii="Times New Roman" w:hAnsi="Times New Roman" w:cs="Times New Roman"/>
          <w:color w:val="auto"/>
        </w:rPr>
      </w:pPr>
    </w:p>
    <w:p>
      <w:pPr>
        <w:spacing w:line="400" w:lineRule="exact"/>
        <w:jc w:val="center"/>
        <w:rPr>
          <w:color w:val="auto"/>
          <w:sz w:val="32"/>
          <w:szCs w:val="32"/>
        </w:rPr>
      </w:pPr>
    </w:p>
    <w:p>
      <w:pPr>
        <w:jc w:val="center"/>
        <w:rPr>
          <w:color w:val="auto"/>
          <w:sz w:val="44"/>
          <w:szCs w:val="44"/>
        </w:rPr>
      </w:pPr>
    </w:p>
    <w:p>
      <w:pPr>
        <w:jc w:val="center"/>
        <w:rPr>
          <w:color w:val="auto"/>
          <w:sz w:val="44"/>
          <w:szCs w:val="44"/>
        </w:rPr>
      </w:pPr>
    </w:p>
    <w:p>
      <w:pPr>
        <w:jc w:val="center"/>
        <w:rPr>
          <w:color w:val="auto"/>
          <w:sz w:val="44"/>
          <w:szCs w:val="44"/>
        </w:rPr>
        <w:sectPr>
          <w:footerReference r:id="rId5" w:type="first"/>
          <w:footerReference r:id="rId3" w:type="default"/>
          <w:footerReference r:id="rId4" w:type="even"/>
          <w:pgSz w:w="11850" w:h="16783"/>
          <w:pgMar w:top="1247" w:right="1247" w:bottom="1247" w:left="1247" w:header="851" w:footer="992" w:gutter="0"/>
          <w:pgNumType w:start="0"/>
          <w:cols w:space="720" w:num="1"/>
          <w:titlePg/>
          <w:docGrid w:type="lines" w:linePitch="318" w:charSpace="0"/>
        </w:sectPr>
      </w:pPr>
    </w:p>
    <w:p>
      <w:pPr>
        <w:jc w:val="center"/>
        <w:rPr>
          <w:color w:val="auto"/>
          <w:sz w:val="44"/>
          <w:szCs w:val="44"/>
        </w:rPr>
      </w:pPr>
      <w:r>
        <w:rPr>
          <w:color w:val="auto"/>
          <w:sz w:val="44"/>
          <w:szCs w:val="44"/>
        </w:rPr>
        <w:t>目   录</w:t>
      </w:r>
    </w:p>
    <w:p>
      <w:pPr>
        <w:jc w:val="center"/>
        <w:rPr>
          <w:color w:val="auto"/>
          <w:sz w:val="44"/>
          <w:szCs w:val="44"/>
        </w:rPr>
      </w:pPr>
    </w:p>
    <w:p>
      <w:pPr>
        <w:pStyle w:val="12"/>
        <w:tabs>
          <w:tab w:val="right" w:leader="dot" w:pos="9346"/>
        </w:tabs>
        <w:rPr>
          <w:rFonts w:ascii="宋体" w:hAnsi="宋体" w:cs="宋体"/>
          <w:color w:val="auto"/>
          <w:sz w:val="28"/>
          <w:szCs w:val="32"/>
        </w:rPr>
      </w:pPr>
      <w:r>
        <w:rPr>
          <w:color w:val="auto"/>
          <w:sz w:val="32"/>
          <w:szCs w:val="32"/>
        </w:rPr>
        <w:fldChar w:fldCharType="begin"/>
      </w:r>
      <w:r>
        <w:rPr>
          <w:color w:val="auto"/>
          <w:sz w:val="32"/>
          <w:szCs w:val="32"/>
        </w:rPr>
        <w:instrText xml:space="preserve"> TOC \o "1-1" \h \z \u </w:instrText>
      </w:r>
      <w:r>
        <w:rPr>
          <w:color w:val="auto"/>
          <w:sz w:val="32"/>
          <w:szCs w:val="32"/>
        </w:rPr>
        <w:fldChar w:fldCharType="separate"/>
      </w:r>
      <w:r>
        <w:rPr>
          <w:color w:val="auto"/>
        </w:rPr>
        <w:fldChar w:fldCharType="begin"/>
      </w:r>
      <w:r>
        <w:rPr>
          <w:color w:val="auto"/>
        </w:rPr>
        <w:instrText xml:space="preserve"> HYPERLINK \l "_Toc77937041" </w:instrText>
      </w:r>
      <w:r>
        <w:rPr>
          <w:color w:val="auto"/>
        </w:rPr>
        <w:fldChar w:fldCharType="separate"/>
      </w:r>
      <w:r>
        <w:rPr>
          <w:rStyle w:val="18"/>
          <w:rFonts w:hint="eastAsia" w:ascii="宋体" w:hAnsi="宋体" w:cs="宋体"/>
          <w:color w:val="auto"/>
          <w:sz w:val="28"/>
          <w:szCs w:val="36"/>
        </w:rPr>
        <w:t>第一章  竞争性磋商公告</w:t>
      </w:r>
      <w:r>
        <w:rPr>
          <w:rFonts w:hint="eastAsia" w:ascii="宋体" w:hAnsi="宋体" w:cs="宋体"/>
          <w:color w:val="auto"/>
          <w:sz w:val="28"/>
          <w:szCs w:val="36"/>
        </w:rPr>
        <w:tab/>
      </w:r>
      <w:r>
        <w:rPr>
          <w:rFonts w:hint="eastAsia" w:ascii="宋体" w:hAnsi="宋体" w:cs="宋体"/>
          <w:color w:val="auto"/>
          <w:sz w:val="28"/>
          <w:szCs w:val="36"/>
        </w:rPr>
        <w:fldChar w:fldCharType="begin"/>
      </w:r>
      <w:r>
        <w:rPr>
          <w:rFonts w:hint="eastAsia" w:ascii="宋体" w:hAnsi="宋体" w:cs="宋体"/>
          <w:color w:val="auto"/>
          <w:sz w:val="28"/>
          <w:szCs w:val="36"/>
        </w:rPr>
        <w:instrText xml:space="preserve"> PAGEREF _Toc77937041 \h </w:instrText>
      </w:r>
      <w:r>
        <w:rPr>
          <w:rFonts w:hint="eastAsia" w:ascii="宋体" w:hAnsi="宋体" w:cs="宋体"/>
          <w:color w:val="auto"/>
          <w:sz w:val="28"/>
          <w:szCs w:val="36"/>
        </w:rPr>
        <w:fldChar w:fldCharType="separate"/>
      </w:r>
      <w:r>
        <w:rPr>
          <w:rFonts w:hint="eastAsia" w:ascii="宋体" w:hAnsi="宋体" w:cs="宋体"/>
          <w:color w:val="auto"/>
          <w:sz w:val="28"/>
          <w:szCs w:val="36"/>
        </w:rPr>
        <w:t>1</w:t>
      </w:r>
      <w:r>
        <w:rPr>
          <w:rFonts w:hint="eastAsia" w:ascii="宋体" w:hAnsi="宋体" w:cs="宋体"/>
          <w:color w:val="auto"/>
          <w:sz w:val="28"/>
          <w:szCs w:val="36"/>
        </w:rPr>
        <w:fldChar w:fldCharType="end"/>
      </w:r>
      <w:r>
        <w:rPr>
          <w:rFonts w:hint="eastAsia" w:ascii="宋体" w:hAnsi="宋体" w:cs="宋体"/>
          <w:color w:val="auto"/>
          <w:sz w:val="28"/>
          <w:szCs w:val="36"/>
        </w:rPr>
        <w:fldChar w:fldCharType="end"/>
      </w:r>
    </w:p>
    <w:p>
      <w:pPr>
        <w:pStyle w:val="12"/>
        <w:tabs>
          <w:tab w:val="right" w:leader="dot" w:pos="9346"/>
        </w:tabs>
        <w:rPr>
          <w:rFonts w:ascii="宋体" w:hAnsi="宋体" w:cs="宋体"/>
          <w:color w:val="auto"/>
          <w:sz w:val="28"/>
          <w:szCs w:val="32"/>
        </w:rPr>
      </w:pPr>
      <w:r>
        <w:rPr>
          <w:color w:val="auto"/>
        </w:rPr>
        <w:fldChar w:fldCharType="begin"/>
      </w:r>
      <w:r>
        <w:rPr>
          <w:color w:val="auto"/>
        </w:rPr>
        <w:instrText xml:space="preserve"> HYPERLINK \l "_Toc77937042" </w:instrText>
      </w:r>
      <w:r>
        <w:rPr>
          <w:color w:val="auto"/>
        </w:rPr>
        <w:fldChar w:fldCharType="separate"/>
      </w:r>
      <w:r>
        <w:rPr>
          <w:rStyle w:val="18"/>
          <w:rFonts w:hint="eastAsia" w:ascii="宋体" w:hAnsi="宋体" w:cs="宋体"/>
          <w:color w:val="auto"/>
          <w:sz w:val="28"/>
          <w:szCs w:val="36"/>
        </w:rPr>
        <w:t>第二章  竞标人须知前附表</w:t>
      </w:r>
      <w:r>
        <w:rPr>
          <w:rFonts w:hint="eastAsia" w:ascii="宋体" w:hAnsi="宋体" w:cs="宋体"/>
          <w:color w:val="auto"/>
          <w:sz w:val="28"/>
          <w:szCs w:val="36"/>
        </w:rPr>
        <w:tab/>
      </w:r>
      <w:r>
        <w:rPr>
          <w:rFonts w:hint="eastAsia" w:ascii="宋体" w:hAnsi="宋体" w:cs="宋体"/>
          <w:color w:val="auto"/>
          <w:sz w:val="28"/>
          <w:szCs w:val="36"/>
        </w:rPr>
        <w:fldChar w:fldCharType="begin"/>
      </w:r>
      <w:r>
        <w:rPr>
          <w:rFonts w:hint="eastAsia" w:ascii="宋体" w:hAnsi="宋体" w:cs="宋体"/>
          <w:color w:val="auto"/>
          <w:sz w:val="28"/>
          <w:szCs w:val="36"/>
        </w:rPr>
        <w:instrText xml:space="preserve"> PAGEREF _Toc77937042 \h </w:instrText>
      </w:r>
      <w:r>
        <w:rPr>
          <w:rFonts w:hint="eastAsia" w:ascii="宋体" w:hAnsi="宋体" w:cs="宋体"/>
          <w:color w:val="auto"/>
          <w:sz w:val="28"/>
          <w:szCs w:val="36"/>
        </w:rPr>
        <w:fldChar w:fldCharType="separate"/>
      </w:r>
      <w:r>
        <w:rPr>
          <w:rFonts w:hint="eastAsia" w:ascii="宋体" w:hAnsi="宋体" w:cs="宋体"/>
          <w:color w:val="auto"/>
          <w:sz w:val="28"/>
          <w:szCs w:val="36"/>
        </w:rPr>
        <w:t>5</w:t>
      </w:r>
      <w:r>
        <w:rPr>
          <w:rFonts w:hint="eastAsia" w:ascii="宋体" w:hAnsi="宋体" w:cs="宋体"/>
          <w:color w:val="auto"/>
          <w:sz w:val="28"/>
          <w:szCs w:val="36"/>
        </w:rPr>
        <w:fldChar w:fldCharType="end"/>
      </w:r>
      <w:r>
        <w:rPr>
          <w:rFonts w:hint="eastAsia" w:ascii="宋体" w:hAnsi="宋体" w:cs="宋体"/>
          <w:color w:val="auto"/>
          <w:sz w:val="28"/>
          <w:szCs w:val="36"/>
        </w:rPr>
        <w:fldChar w:fldCharType="end"/>
      </w:r>
    </w:p>
    <w:p>
      <w:pPr>
        <w:pStyle w:val="12"/>
        <w:tabs>
          <w:tab w:val="right" w:leader="dot" w:pos="9346"/>
        </w:tabs>
        <w:rPr>
          <w:rFonts w:ascii="宋体" w:hAnsi="宋体" w:cs="宋体"/>
          <w:color w:val="auto"/>
          <w:sz w:val="28"/>
          <w:szCs w:val="32"/>
        </w:rPr>
      </w:pPr>
      <w:r>
        <w:rPr>
          <w:color w:val="auto"/>
        </w:rPr>
        <w:fldChar w:fldCharType="begin"/>
      </w:r>
      <w:r>
        <w:rPr>
          <w:color w:val="auto"/>
        </w:rPr>
        <w:instrText xml:space="preserve"> HYPERLINK \l "_Toc77937043" </w:instrText>
      </w:r>
      <w:r>
        <w:rPr>
          <w:color w:val="auto"/>
        </w:rPr>
        <w:fldChar w:fldCharType="separate"/>
      </w:r>
      <w:r>
        <w:rPr>
          <w:rStyle w:val="18"/>
          <w:rFonts w:hint="eastAsia" w:ascii="宋体" w:hAnsi="宋体" w:cs="宋体"/>
          <w:color w:val="auto"/>
          <w:sz w:val="28"/>
          <w:szCs w:val="36"/>
        </w:rPr>
        <w:t>第三章  采购项目需求</w:t>
      </w:r>
      <w:r>
        <w:rPr>
          <w:rFonts w:hint="eastAsia" w:ascii="宋体" w:hAnsi="宋体" w:cs="宋体"/>
          <w:color w:val="auto"/>
          <w:sz w:val="28"/>
          <w:szCs w:val="36"/>
        </w:rPr>
        <w:tab/>
      </w:r>
      <w:r>
        <w:rPr>
          <w:rFonts w:hint="eastAsia" w:ascii="宋体" w:hAnsi="宋体" w:cs="宋体"/>
          <w:color w:val="auto"/>
          <w:sz w:val="28"/>
          <w:szCs w:val="36"/>
        </w:rPr>
        <w:fldChar w:fldCharType="begin"/>
      </w:r>
      <w:r>
        <w:rPr>
          <w:rFonts w:hint="eastAsia" w:ascii="宋体" w:hAnsi="宋体" w:cs="宋体"/>
          <w:color w:val="auto"/>
          <w:sz w:val="28"/>
          <w:szCs w:val="36"/>
        </w:rPr>
        <w:instrText xml:space="preserve"> PAGEREF _Toc77937043 \h </w:instrText>
      </w:r>
      <w:r>
        <w:rPr>
          <w:rFonts w:hint="eastAsia" w:ascii="宋体" w:hAnsi="宋体" w:cs="宋体"/>
          <w:color w:val="auto"/>
          <w:sz w:val="28"/>
          <w:szCs w:val="36"/>
        </w:rPr>
        <w:fldChar w:fldCharType="separate"/>
      </w:r>
      <w:r>
        <w:rPr>
          <w:rFonts w:hint="eastAsia" w:ascii="宋体" w:hAnsi="宋体" w:cs="宋体"/>
          <w:color w:val="auto"/>
          <w:sz w:val="28"/>
          <w:szCs w:val="36"/>
        </w:rPr>
        <w:t>13</w:t>
      </w:r>
      <w:r>
        <w:rPr>
          <w:rFonts w:hint="eastAsia" w:ascii="宋体" w:hAnsi="宋体" w:cs="宋体"/>
          <w:color w:val="auto"/>
          <w:sz w:val="28"/>
          <w:szCs w:val="36"/>
        </w:rPr>
        <w:fldChar w:fldCharType="end"/>
      </w:r>
      <w:r>
        <w:rPr>
          <w:rFonts w:hint="eastAsia" w:ascii="宋体" w:hAnsi="宋体" w:cs="宋体"/>
          <w:color w:val="auto"/>
          <w:sz w:val="28"/>
          <w:szCs w:val="36"/>
        </w:rPr>
        <w:fldChar w:fldCharType="end"/>
      </w:r>
    </w:p>
    <w:p>
      <w:pPr>
        <w:pStyle w:val="12"/>
        <w:tabs>
          <w:tab w:val="right" w:leader="dot" w:pos="9346"/>
        </w:tabs>
        <w:rPr>
          <w:rFonts w:ascii="宋体" w:hAnsi="宋体" w:cs="宋体"/>
          <w:color w:val="auto"/>
          <w:sz w:val="28"/>
          <w:szCs w:val="32"/>
        </w:rPr>
      </w:pPr>
      <w:r>
        <w:rPr>
          <w:color w:val="auto"/>
        </w:rPr>
        <w:fldChar w:fldCharType="begin"/>
      </w:r>
      <w:r>
        <w:rPr>
          <w:color w:val="auto"/>
        </w:rPr>
        <w:instrText xml:space="preserve"> HYPERLINK \l "_Toc77937044" </w:instrText>
      </w:r>
      <w:r>
        <w:rPr>
          <w:color w:val="auto"/>
        </w:rPr>
        <w:fldChar w:fldCharType="separate"/>
      </w:r>
      <w:r>
        <w:rPr>
          <w:rStyle w:val="18"/>
          <w:rFonts w:hint="eastAsia" w:ascii="宋体" w:hAnsi="宋体" w:cs="宋体"/>
          <w:color w:val="auto"/>
          <w:sz w:val="28"/>
          <w:szCs w:val="36"/>
        </w:rPr>
        <w:t>第四章  评审方法</w:t>
      </w:r>
      <w:r>
        <w:rPr>
          <w:rFonts w:hint="eastAsia" w:ascii="宋体" w:hAnsi="宋体" w:cs="宋体"/>
          <w:color w:val="auto"/>
          <w:sz w:val="28"/>
          <w:szCs w:val="36"/>
        </w:rPr>
        <w:tab/>
      </w:r>
      <w:r>
        <w:rPr>
          <w:rFonts w:hint="eastAsia" w:ascii="宋体" w:hAnsi="宋体" w:cs="宋体"/>
          <w:color w:val="auto"/>
          <w:sz w:val="28"/>
          <w:szCs w:val="36"/>
        </w:rPr>
        <w:fldChar w:fldCharType="end"/>
      </w:r>
      <w:r>
        <w:rPr>
          <w:rFonts w:hint="eastAsia" w:ascii="宋体" w:hAnsi="宋体" w:cs="宋体"/>
          <w:color w:val="auto"/>
          <w:sz w:val="28"/>
          <w:szCs w:val="36"/>
        </w:rPr>
        <w:t>16</w:t>
      </w:r>
    </w:p>
    <w:p>
      <w:pPr>
        <w:pStyle w:val="12"/>
        <w:tabs>
          <w:tab w:val="right" w:leader="dot" w:pos="9346"/>
        </w:tabs>
        <w:rPr>
          <w:rFonts w:ascii="宋体" w:hAnsi="宋体" w:cs="宋体"/>
          <w:color w:val="auto"/>
          <w:sz w:val="28"/>
          <w:szCs w:val="32"/>
        </w:rPr>
      </w:pPr>
      <w:r>
        <w:rPr>
          <w:color w:val="auto"/>
        </w:rPr>
        <w:fldChar w:fldCharType="begin"/>
      </w:r>
      <w:r>
        <w:rPr>
          <w:color w:val="auto"/>
        </w:rPr>
        <w:instrText xml:space="preserve"> HYPERLINK \l "_Toc77937045" </w:instrText>
      </w:r>
      <w:r>
        <w:rPr>
          <w:color w:val="auto"/>
        </w:rPr>
        <w:fldChar w:fldCharType="separate"/>
      </w:r>
      <w:r>
        <w:rPr>
          <w:rStyle w:val="18"/>
          <w:rFonts w:hint="eastAsia" w:ascii="宋体" w:hAnsi="宋体" w:cs="宋体"/>
          <w:color w:val="auto"/>
          <w:sz w:val="28"/>
          <w:szCs w:val="36"/>
        </w:rPr>
        <w:t>第五章  磋商响应文件格式</w:t>
      </w:r>
      <w:r>
        <w:rPr>
          <w:rFonts w:hint="eastAsia" w:ascii="宋体" w:hAnsi="宋体" w:cs="宋体"/>
          <w:color w:val="auto"/>
          <w:sz w:val="28"/>
          <w:szCs w:val="36"/>
        </w:rPr>
        <w:tab/>
      </w:r>
      <w:r>
        <w:rPr>
          <w:rFonts w:hint="eastAsia" w:ascii="宋体" w:hAnsi="宋体" w:cs="宋体"/>
          <w:color w:val="auto"/>
          <w:sz w:val="28"/>
          <w:szCs w:val="36"/>
        </w:rPr>
        <w:fldChar w:fldCharType="begin"/>
      </w:r>
      <w:r>
        <w:rPr>
          <w:rFonts w:hint="eastAsia" w:ascii="宋体" w:hAnsi="宋体" w:cs="宋体"/>
          <w:color w:val="auto"/>
          <w:sz w:val="28"/>
          <w:szCs w:val="36"/>
        </w:rPr>
        <w:instrText xml:space="preserve"> PAGEREF _Toc77937045 \h </w:instrText>
      </w:r>
      <w:r>
        <w:rPr>
          <w:rFonts w:hint="eastAsia" w:ascii="宋体" w:hAnsi="宋体" w:cs="宋体"/>
          <w:color w:val="auto"/>
          <w:sz w:val="28"/>
          <w:szCs w:val="36"/>
        </w:rPr>
        <w:fldChar w:fldCharType="separate"/>
      </w:r>
      <w:r>
        <w:rPr>
          <w:rFonts w:hint="eastAsia" w:ascii="宋体" w:hAnsi="宋体" w:cs="宋体"/>
          <w:color w:val="auto"/>
          <w:sz w:val="28"/>
          <w:szCs w:val="36"/>
        </w:rPr>
        <w:t>20</w:t>
      </w:r>
      <w:r>
        <w:rPr>
          <w:rFonts w:hint="eastAsia" w:ascii="宋体" w:hAnsi="宋体" w:cs="宋体"/>
          <w:color w:val="auto"/>
          <w:sz w:val="28"/>
          <w:szCs w:val="36"/>
        </w:rPr>
        <w:fldChar w:fldCharType="end"/>
      </w:r>
      <w:r>
        <w:rPr>
          <w:rFonts w:hint="eastAsia" w:ascii="宋体" w:hAnsi="宋体" w:cs="宋体"/>
          <w:color w:val="auto"/>
          <w:sz w:val="28"/>
          <w:szCs w:val="36"/>
        </w:rPr>
        <w:fldChar w:fldCharType="end"/>
      </w:r>
    </w:p>
    <w:p>
      <w:pPr>
        <w:pStyle w:val="12"/>
        <w:tabs>
          <w:tab w:val="right" w:leader="dot" w:pos="9346"/>
        </w:tabs>
        <w:rPr>
          <w:rFonts w:hint="default" w:eastAsia="宋体"/>
          <w:color w:val="auto"/>
          <w:szCs w:val="22"/>
          <w:lang w:val="en-US" w:eastAsia="zh-CN"/>
        </w:rPr>
      </w:pPr>
      <w:r>
        <w:rPr>
          <w:color w:val="auto"/>
        </w:rPr>
        <w:fldChar w:fldCharType="begin"/>
      </w:r>
      <w:r>
        <w:rPr>
          <w:color w:val="auto"/>
        </w:rPr>
        <w:instrText xml:space="preserve"> HYPERLINK \l "_Toc77937046" </w:instrText>
      </w:r>
      <w:r>
        <w:rPr>
          <w:color w:val="auto"/>
        </w:rPr>
        <w:fldChar w:fldCharType="separate"/>
      </w:r>
      <w:r>
        <w:rPr>
          <w:rStyle w:val="18"/>
          <w:rFonts w:hint="eastAsia" w:ascii="宋体" w:hAnsi="宋体" w:cs="宋体"/>
          <w:color w:val="auto"/>
          <w:sz w:val="28"/>
          <w:szCs w:val="36"/>
        </w:rPr>
        <w:t>第六章  合同主要条款</w:t>
      </w:r>
      <w:r>
        <w:rPr>
          <w:rFonts w:hint="eastAsia" w:ascii="宋体" w:hAnsi="宋体" w:cs="宋体"/>
          <w:color w:val="auto"/>
          <w:sz w:val="28"/>
          <w:szCs w:val="36"/>
        </w:rPr>
        <w:tab/>
      </w:r>
      <w:r>
        <w:rPr>
          <w:rFonts w:hint="eastAsia" w:ascii="宋体" w:hAnsi="宋体" w:cs="宋体"/>
          <w:color w:val="auto"/>
          <w:sz w:val="28"/>
          <w:szCs w:val="36"/>
        </w:rPr>
        <w:fldChar w:fldCharType="end"/>
      </w:r>
      <w:r>
        <w:rPr>
          <w:rFonts w:hint="eastAsia" w:ascii="宋体" w:hAnsi="宋体" w:cs="宋体"/>
          <w:color w:val="auto"/>
          <w:sz w:val="28"/>
          <w:szCs w:val="36"/>
          <w:lang w:val="en-US" w:eastAsia="zh-CN"/>
        </w:rPr>
        <w:t>31</w:t>
      </w:r>
    </w:p>
    <w:p>
      <w:pPr>
        <w:spacing w:line="400" w:lineRule="exact"/>
        <w:jc w:val="left"/>
        <w:rPr>
          <w:color w:val="auto"/>
          <w:sz w:val="32"/>
          <w:szCs w:val="32"/>
        </w:rPr>
      </w:pPr>
      <w:r>
        <w:rPr>
          <w:color w:val="auto"/>
          <w:szCs w:val="32"/>
        </w:rPr>
        <w:fldChar w:fldCharType="end"/>
      </w:r>
      <w:r>
        <w:rPr>
          <w:rFonts w:hint="eastAsia"/>
          <w:color w:val="auto"/>
          <w:szCs w:val="32"/>
        </w:rPr>
        <w:tab/>
      </w:r>
    </w:p>
    <w:p>
      <w:pPr>
        <w:spacing w:line="400" w:lineRule="exact"/>
        <w:jc w:val="left"/>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80" w:lineRule="auto"/>
        <w:jc w:val="center"/>
        <w:rPr>
          <w:color w:val="auto"/>
          <w:sz w:val="44"/>
          <w:szCs w:val="20"/>
        </w:rPr>
        <w:sectPr>
          <w:footerReference r:id="rId7" w:type="first"/>
          <w:footerReference r:id="rId6" w:type="default"/>
          <w:pgSz w:w="11850" w:h="16783"/>
          <w:pgMar w:top="1247" w:right="1247" w:bottom="1247" w:left="1247" w:header="851" w:footer="992" w:gutter="0"/>
          <w:pgNumType w:start="0"/>
          <w:cols w:space="720" w:num="1"/>
          <w:titlePg/>
          <w:docGrid w:type="lines" w:linePitch="318" w:charSpace="0"/>
        </w:sectPr>
      </w:pPr>
    </w:p>
    <w:p>
      <w:pPr>
        <w:spacing w:line="480" w:lineRule="auto"/>
        <w:jc w:val="center"/>
        <w:rPr>
          <w:color w:val="auto"/>
          <w:sz w:val="44"/>
          <w:szCs w:val="20"/>
        </w:rPr>
      </w:pPr>
    </w:p>
    <w:p>
      <w:pPr>
        <w:spacing w:line="480" w:lineRule="auto"/>
        <w:jc w:val="center"/>
        <w:rPr>
          <w:color w:val="auto"/>
          <w:sz w:val="44"/>
          <w:szCs w:val="20"/>
        </w:rPr>
      </w:pPr>
    </w:p>
    <w:p>
      <w:pPr>
        <w:spacing w:line="480" w:lineRule="auto"/>
        <w:jc w:val="center"/>
        <w:rPr>
          <w:color w:val="auto"/>
          <w:sz w:val="44"/>
          <w:szCs w:val="20"/>
        </w:rPr>
      </w:pPr>
    </w:p>
    <w:p>
      <w:pPr>
        <w:spacing w:line="480" w:lineRule="auto"/>
        <w:rPr>
          <w:color w:val="auto"/>
          <w:sz w:val="44"/>
          <w:szCs w:val="20"/>
        </w:rPr>
      </w:pPr>
    </w:p>
    <w:p>
      <w:pPr>
        <w:spacing w:line="480" w:lineRule="auto"/>
        <w:rPr>
          <w:color w:val="auto"/>
          <w:sz w:val="44"/>
          <w:szCs w:val="20"/>
        </w:rPr>
      </w:pPr>
    </w:p>
    <w:p>
      <w:pPr>
        <w:spacing w:line="480" w:lineRule="auto"/>
        <w:jc w:val="center"/>
        <w:rPr>
          <w:color w:val="auto"/>
          <w:sz w:val="44"/>
          <w:szCs w:val="20"/>
        </w:rPr>
      </w:pPr>
    </w:p>
    <w:p>
      <w:pPr>
        <w:spacing w:line="480" w:lineRule="auto"/>
        <w:jc w:val="center"/>
        <w:rPr>
          <w:color w:val="auto"/>
          <w:sz w:val="44"/>
          <w:szCs w:val="20"/>
        </w:rPr>
      </w:pPr>
    </w:p>
    <w:p>
      <w:pPr>
        <w:spacing w:line="480" w:lineRule="auto"/>
        <w:jc w:val="center"/>
        <w:rPr>
          <w:color w:val="auto"/>
          <w:sz w:val="44"/>
          <w:szCs w:val="20"/>
        </w:rPr>
      </w:pPr>
    </w:p>
    <w:p>
      <w:pPr>
        <w:pStyle w:val="2"/>
        <w:rPr>
          <w:color w:val="auto"/>
          <w:szCs w:val="20"/>
        </w:rPr>
      </w:pPr>
      <w:bookmarkStart w:id="5" w:name="_Toc77937041"/>
      <w:r>
        <w:rPr>
          <w:color w:val="auto"/>
          <w:szCs w:val="20"/>
        </w:rPr>
        <w:t>第一章  竞争性磋商公告</w:t>
      </w:r>
      <w:bookmarkEnd w:id="5"/>
    </w:p>
    <w:p>
      <w:pPr>
        <w:spacing w:line="480" w:lineRule="auto"/>
        <w:jc w:val="center"/>
        <w:rPr>
          <w:color w:val="auto"/>
          <w:sz w:val="44"/>
          <w:szCs w:val="20"/>
        </w:rPr>
      </w:pPr>
    </w:p>
    <w:p>
      <w:pPr>
        <w:spacing w:line="480" w:lineRule="auto"/>
        <w:jc w:val="center"/>
        <w:rPr>
          <w:color w:val="auto"/>
          <w:sz w:val="44"/>
          <w:szCs w:val="20"/>
        </w:rPr>
      </w:pPr>
    </w:p>
    <w:p>
      <w:pPr>
        <w:spacing w:line="480" w:lineRule="auto"/>
        <w:jc w:val="center"/>
        <w:rPr>
          <w:color w:val="auto"/>
          <w:sz w:val="44"/>
          <w:szCs w:val="20"/>
        </w:rPr>
      </w:pPr>
    </w:p>
    <w:p>
      <w:pPr>
        <w:spacing w:line="480" w:lineRule="auto"/>
        <w:jc w:val="center"/>
        <w:rPr>
          <w:color w:val="auto"/>
          <w:sz w:val="44"/>
          <w:szCs w:val="20"/>
        </w:rPr>
      </w:pPr>
    </w:p>
    <w:p>
      <w:pPr>
        <w:spacing w:line="500" w:lineRule="exact"/>
        <w:jc w:val="center"/>
        <w:rPr>
          <w:rFonts w:ascii="黑体" w:hAnsi="黑体" w:eastAsia="黑体"/>
          <w:color w:val="auto"/>
          <w:sz w:val="44"/>
          <w:szCs w:val="44"/>
          <w:shd w:val="clear" w:color="auto" w:fill="FFFFFF"/>
        </w:rPr>
        <w:sectPr>
          <w:footerReference r:id="rId9" w:type="first"/>
          <w:footerReference r:id="rId8" w:type="default"/>
          <w:pgSz w:w="11850" w:h="16783"/>
          <w:pgMar w:top="1247" w:right="1247" w:bottom="1247" w:left="1247" w:header="851" w:footer="992" w:gutter="0"/>
          <w:pgNumType w:start="1"/>
          <w:cols w:space="720" w:num="1"/>
          <w:docGrid w:type="lines" w:linePitch="318" w:charSpace="0"/>
        </w:sectPr>
      </w:pPr>
      <w:bookmarkStart w:id="6" w:name="OLE_LINK9"/>
      <w:bookmarkStart w:id="7" w:name="OLE_LINK8"/>
    </w:p>
    <w:bookmarkEnd w:id="6"/>
    <w:bookmarkEnd w:id="7"/>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center"/>
        <w:textAlignment w:val="auto"/>
        <w:rPr>
          <w:rFonts w:hint="default" w:ascii="Times New Roman" w:hAnsi="Times New Roman" w:eastAsia="黑体" w:cs="Times New Roman"/>
          <w:b w:val="0"/>
          <w:bCs/>
          <w:color w:val="auto"/>
          <w:kern w:val="2"/>
          <w:sz w:val="44"/>
          <w:szCs w:val="44"/>
          <w:highlight w:val="none"/>
          <w:lang w:val="en-US" w:eastAsia="zh-CN" w:bidi="ar-SA"/>
        </w:rPr>
      </w:pPr>
      <w:r>
        <w:rPr>
          <w:rFonts w:hint="eastAsia" w:ascii="Times New Roman" w:hAnsi="Times New Roman" w:eastAsia="黑体" w:cs="Times New Roman"/>
          <w:b w:val="0"/>
          <w:bCs/>
          <w:color w:val="auto"/>
          <w:kern w:val="2"/>
          <w:sz w:val="44"/>
          <w:szCs w:val="44"/>
          <w:highlight w:val="none"/>
          <w:lang w:val="en-US" w:eastAsia="zh-CN" w:bidi="ar-SA"/>
        </w:rPr>
        <w:t>“</w:t>
      </w:r>
      <w:r>
        <w:rPr>
          <w:rFonts w:hint="default" w:ascii="Times New Roman" w:hAnsi="Times New Roman" w:eastAsia="黑体" w:cs="Times New Roman"/>
          <w:b w:val="0"/>
          <w:bCs/>
          <w:color w:val="auto"/>
          <w:kern w:val="2"/>
          <w:sz w:val="44"/>
          <w:szCs w:val="44"/>
          <w:highlight w:val="none"/>
          <w:lang w:val="en-US" w:eastAsia="zh-CN" w:bidi="ar-SA"/>
        </w:rPr>
        <w:t>中国—东盟经贸通</w:t>
      </w:r>
      <w:r>
        <w:rPr>
          <w:rFonts w:hint="eastAsia" w:ascii="Times New Roman" w:hAnsi="Times New Roman" w:eastAsia="黑体" w:cs="Times New Roman"/>
          <w:b w:val="0"/>
          <w:bCs/>
          <w:color w:val="auto"/>
          <w:kern w:val="2"/>
          <w:sz w:val="44"/>
          <w:szCs w:val="44"/>
          <w:highlight w:val="none"/>
          <w:lang w:val="en-US" w:eastAsia="zh-CN" w:bidi="ar-SA"/>
        </w:rPr>
        <w:t>”</w:t>
      </w:r>
      <w:r>
        <w:rPr>
          <w:rFonts w:hint="default" w:ascii="Times New Roman" w:hAnsi="Times New Roman" w:eastAsia="黑体" w:cs="Times New Roman"/>
          <w:b w:val="0"/>
          <w:bCs/>
          <w:color w:val="auto"/>
          <w:kern w:val="2"/>
          <w:sz w:val="44"/>
          <w:szCs w:val="44"/>
          <w:highlight w:val="none"/>
          <w:lang w:val="en-US" w:eastAsia="zh-CN" w:bidi="ar-SA"/>
        </w:rPr>
        <w:t>公共服务线上平台</w:t>
      </w:r>
    </w:p>
    <w:p>
      <w:pPr>
        <w:pageBreakBefore w:val="0"/>
        <w:widowControl w:val="0"/>
        <w:kinsoku/>
        <w:wordWrap/>
        <w:overflowPunct/>
        <w:topLinePunct w:val="0"/>
        <w:autoSpaceDE/>
        <w:autoSpaceDN/>
        <w:bidi w:val="0"/>
        <w:spacing w:line="600" w:lineRule="exact"/>
        <w:jc w:val="center"/>
        <w:textAlignment w:val="auto"/>
        <w:rPr>
          <w:rFonts w:hint="eastAsia"/>
          <w:b w:val="0"/>
          <w:bCs/>
          <w:color w:val="auto"/>
          <w:highlight w:val="none"/>
        </w:rPr>
      </w:pPr>
      <w:r>
        <w:rPr>
          <w:rFonts w:hint="eastAsia" w:ascii="Times New Roman" w:hAnsi="Times New Roman" w:eastAsia="黑体" w:cs="Times New Roman"/>
          <w:b w:val="0"/>
          <w:bCs/>
          <w:color w:val="auto"/>
          <w:kern w:val="2"/>
          <w:sz w:val="44"/>
          <w:szCs w:val="44"/>
          <w:highlight w:val="none"/>
          <w:lang w:val="en-US" w:eastAsia="zh-CN" w:bidi="ar-SA"/>
        </w:rPr>
        <w:t>（一期）建设项</w:t>
      </w:r>
      <w:r>
        <w:rPr>
          <w:rFonts w:hint="eastAsia" w:ascii="黑体" w:hAnsi="黑体" w:eastAsia="黑体"/>
          <w:b w:val="0"/>
          <w:bCs/>
          <w:color w:val="auto"/>
          <w:sz w:val="44"/>
          <w:szCs w:val="44"/>
          <w:highlight w:val="none"/>
          <w:shd w:val="clear" w:color="auto" w:fill="FFFFFF"/>
          <w:lang w:eastAsia="zh-CN"/>
        </w:rPr>
        <w:t>目</w:t>
      </w:r>
      <w:r>
        <w:rPr>
          <w:rFonts w:eastAsia="黑体"/>
          <w:b w:val="0"/>
          <w:bCs/>
          <w:color w:val="auto"/>
          <w:sz w:val="44"/>
          <w:szCs w:val="44"/>
          <w:highlight w:val="none"/>
        </w:rPr>
        <w:t>竞争性磋商公告</w:t>
      </w:r>
    </w:p>
    <w:p>
      <w:pPr>
        <w:spacing w:line="500" w:lineRule="exact"/>
        <w:jc w:val="right"/>
        <w:rPr>
          <w:color w:val="auto"/>
          <w:sz w:val="30"/>
          <w:szCs w:val="72"/>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广西东博国际经贸投资有限公司拟对“中国—东盟经贸通”公共服务线上平台（一期）建设项目采购，现将有关事项公告如下：</w:t>
      </w:r>
    </w:p>
    <w:p>
      <w:pPr>
        <w:adjustRightInd w:val="0"/>
        <w:snapToGrid w:val="0"/>
        <w:spacing w:line="560" w:lineRule="exact"/>
        <w:ind w:firstLine="640" w:firstLineChars="20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一、项目基本情况:</w:t>
      </w:r>
    </w:p>
    <w:p>
      <w:pPr>
        <w:pageBreakBefore w:val="0"/>
        <w:widowControl w:val="0"/>
        <w:kinsoku/>
        <w:wordWrap/>
        <w:overflowPunct/>
        <w:topLinePunct w:val="0"/>
        <w:autoSpaceDE/>
        <w:autoSpaceDN/>
        <w:bidi w:val="0"/>
        <w:spacing w:line="600" w:lineRule="exact"/>
        <w:ind w:left="0" w:leftChars="0" w:firstLine="640" w:firstLineChars="200"/>
        <w:textAlignment w:val="auto"/>
        <w:rPr>
          <w:rFonts w:hint="default" w:ascii="Times New Roman" w:hAnsi="Times New Roman" w:eastAsia="仿宋_GB2312" w:cs="Times New Roman"/>
          <w:color w:val="auto"/>
          <w:sz w:val="32"/>
          <w:szCs w:val="32"/>
          <w:highlight w:val="none"/>
          <w:shd w:val="clear" w:color="auto" w:fill="FFFFFF"/>
          <w:lang w:val="en-US" w:eastAsia="zh-CN"/>
        </w:rPr>
      </w:pPr>
      <w:r>
        <w:rPr>
          <w:rFonts w:ascii="Times New Roman Regular" w:hAnsi="Times New Roman Regular" w:eastAsia="方正仿宋_GB2312" w:cs="Times New Roman Regular"/>
          <w:color w:val="auto"/>
          <w:sz w:val="32"/>
          <w:szCs w:val="32"/>
        </w:rPr>
        <w:t>项目名称：</w:t>
      </w:r>
      <w:bookmarkStart w:id="8" w:name="OLE_LINK54"/>
      <w:r>
        <w:rPr>
          <w:rFonts w:hint="default" w:ascii="Times New Roman" w:hAnsi="Times New Roman" w:eastAsia="仿宋_GB2312" w:cs="Times New Roman"/>
          <w:b w:val="0"/>
          <w:bCs w:val="0"/>
          <w:color w:val="auto"/>
          <w:kern w:val="2"/>
          <w:sz w:val="32"/>
          <w:szCs w:val="32"/>
          <w:highlight w:val="none"/>
          <w:lang w:val="en-US" w:eastAsia="zh-CN" w:bidi="ar-SA"/>
        </w:rPr>
        <w:t>“中国—东盟经贸通”公共服务线上平台（一期）</w:t>
      </w:r>
      <w:r>
        <w:rPr>
          <w:rFonts w:hint="default" w:ascii="Times New Roman" w:hAnsi="Times New Roman" w:eastAsia="仿宋_GB2312" w:cs="Times New Roman"/>
          <w:color w:val="auto"/>
          <w:sz w:val="32"/>
          <w:szCs w:val="32"/>
          <w:highlight w:val="none"/>
          <w:shd w:val="clear" w:color="auto" w:fill="FFFFFF"/>
          <w:lang w:val="en-US" w:eastAsia="zh-CN"/>
        </w:rPr>
        <w:t>建设项目</w:t>
      </w:r>
    </w:p>
    <w:p>
      <w:pPr>
        <w:spacing w:line="560" w:lineRule="exact"/>
        <w:ind w:firstLine="640" w:firstLineChars="200"/>
        <w:rPr>
          <w:rFonts w:ascii="Times New Roman Regular" w:hAnsi="Times New Roman Regular" w:eastAsia="方正仿宋_GB2312" w:cs="Times New Roman Regular"/>
          <w:color w:val="auto"/>
          <w:sz w:val="32"/>
          <w:szCs w:val="32"/>
        </w:rPr>
      </w:pPr>
      <w:r>
        <w:rPr>
          <w:rFonts w:ascii="Times New Roman Regular" w:hAnsi="Times New Roman Regular" w:eastAsia="方正仿宋_GB2312" w:cs="Times New Roman Regular"/>
          <w:color w:val="auto"/>
          <w:sz w:val="32"/>
          <w:szCs w:val="32"/>
        </w:rPr>
        <w:t>采购方式：竞争性磋商</w:t>
      </w:r>
    </w:p>
    <w:p>
      <w:pPr>
        <w:spacing w:line="560" w:lineRule="exact"/>
        <w:ind w:firstLine="640" w:firstLineChars="200"/>
        <w:rPr>
          <w:rFonts w:ascii="Times New Roman Regular" w:hAnsi="Times New Roman Regular" w:eastAsia="方正仿宋_GB2312" w:cs="Times New Roman Regular"/>
          <w:color w:val="auto"/>
          <w:sz w:val="32"/>
          <w:szCs w:val="32"/>
        </w:rPr>
      </w:pPr>
      <w:r>
        <w:rPr>
          <w:rFonts w:ascii="Times New Roman Regular" w:hAnsi="Times New Roman Regular" w:eastAsia="方正仿宋_GB2312" w:cs="Times New Roman Regular"/>
          <w:color w:val="auto"/>
          <w:sz w:val="32"/>
          <w:szCs w:val="32"/>
        </w:rPr>
        <w:t>预算金额：人民币</w:t>
      </w:r>
      <w:r>
        <w:rPr>
          <w:rFonts w:hint="default" w:ascii="Times New Roman" w:hAnsi="Times New Roman" w:eastAsia="仿宋_GB2312" w:cs="Times New Roman"/>
          <w:b w:val="0"/>
          <w:color w:val="auto"/>
          <w:sz w:val="32"/>
          <w:szCs w:val="32"/>
          <w:highlight w:val="none"/>
          <w:lang w:val="en-US" w:eastAsia="zh-CN"/>
        </w:rPr>
        <w:t>拾玖万捌仟元</w:t>
      </w:r>
      <w:r>
        <w:rPr>
          <w:rFonts w:hint="default" w:ascii="Times New Roman" w:hAnsi="Times New Roman" w:eastAsia="仿宋_GB2312" w:cs="Times New Roman"/>
          <w:b w:val="0"/>
          <w:color w:val="auto"/>
          <w:sz w:val="32"/>
          <w:szCs w:val="32"/>
          <w:highlight w:val="none"/>
        </w:rPr>
        <w:t>（</w:t>
      </w:r>
      <w:r>
        <w:rPr>
          <w:rFonts w:hint="default" w:ascii="Times New Roman" w:hAnsi="Times New Roman" w:eastAsia="仿宋_GB2312" w:cs="Times New Roman"/>
          <w:b w:val="0"/>
          <w:color w:val="auto"/>
          <w:sz w:val="32"/>
          <w:szCs w:val="32"/>
          <w:highlight w:val="none"/>
          <w:lang w:val="en-US" w:eastAsia="zh-CN"/>
        </w:rPr>
        <w:t>￥</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lang w:val="en-US" w:eastAsia="zh-CN"/>
        </w:rPr>
        <w:t>198000</w:t>
      </w:r>
      <w:r>
        <w:rPr>
          <w:rFonts w:hint="default" w:ascii="Times New Roman" w:hAnsi="Times New Roman" w:eastAsia="仿宋_GB2312" w:cs="Times New Roman"/>
          <w:b w:val="0"/>
          <w:color w:val="auto"/>
          <w:sz w:val="32"/>
          <w:szCs w:val="32"/>
          <w:highlight w:val="none"/>
        </w:rPr>
        <w:t>）</w:t>
      </w:r>
    </w:p>
    <w:bookmarkEnd w:id="8"/>
    <w:p>
      <w:pPr>
        <w:pStyle w:val="3"/>
        <w:numPr>
          <w:ilvl w:val="0"/>
          <w:numId w:val="0"/>
        </w:numPr>
        <w:spacing w:before="0" w:after="0" w:line="560" w:lineRule="exact"/>
        <w:ind w:firstLine="640" w:firstLineChars="200"/>
        <w:rPr>
          <w:rFonts w:ascii="Times New Roman Regular" w:hAnsi="Times New Roman Regular" w:eastAsia="方正仿宋_GB2312" w:cs="Times New Roman Regular"/>
          <w:b w:val="0"/>
          <w:bCs w:val="0"/>
          <w:color w:val="auto"/>
        </w:rPr>
      </w:pPr>
      <w:r>
        <w:rPr>
          <w:rFonts w:hint="eastAsia" w:ascii="黑体" w:hAnsi="黑体" w:eastAsia="黑体" w:cs="黑体"/>
          <w:b w:val="0"/>
          <w:bCs w:val="0"/>
          <w:color w:val="auto"/>
          <w:kern w:val="2"/>
          <w:sz w:val="32"/>
          <w:szCs w:val="32"/>
          <w:lang w:val="en-US" w:eastAsia="zh-CN" w:bidi="ar-SA"/>
        </w:rPr>
        <w:t>二、采购组织形式：</w:t>
      </w:r>
      <w:r>
        <w:rPr>
          <w:rFonts w:ascii="Times New Roman Regular" w:hAnsi="Times New Roman Regular" w:eastAsia="方正仿宋_GB2312" w:cs="Times New Roman Regular"/>
          <w:b w:val="0"/>
          <w:bCs w:val="0"/>
          <w:color w:val="auto"/>
        </w:rPr>
        <w:t>企业自行采购</w:t>
      </w:r>
    </w:p>
    <w:p>
      <w:pPr>
        <w:numPr>
          <w:ilvl w:val="0"/>
          <w:numId w:val="0"/>
        </w:numPr>
        <w:spacing w:after="160" w:line="560" w:lineRule="exact"/>
        <w:ind w:firstLine="640" w:firstLineChars="20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三、采购需求：</w:t>
      </w:r>
    </w:p>
    <w:tbl>
      <w:tblPr>
        <w:tblStyle w:val="15"/>
        <w:tblW w:w="863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7"/>
        <w:gridCol w:w="5130"/>
        <w:gridCol w:w="700"/>
        <w:gridCol w:w="18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9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rPr>
                <w:rFonts w:eastAsia="方正仿宋_GB2312"/>
                <w:bCs/>
                <w:color w:val="auto"/>
                <w:sz w:val="24"/>
              </w:rPr>
            </w:pPr>
            <w:r>
              <w:rPr>
                <w:rFonts w:eastAsia="方正仿宋_GB2312"/>
                <w:color w:val="auto"/>
                <w:sz w:val="24"/>
              </w:rPr>
              <w:t>序号</w:t>
            </w:r>
          </w:p>
        </w:tc>
        <w:tc>
          <w:tcPr>
            <w:tcW w:w="513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eastAsia="方正仿宋_GB2312"/>
                <w:bCs/>
                <w:color w:val="auto"/>
                <w:sz w:val="24"/>
              </w:rPr>
            </w:pPr>
            <w:r>
              <w:rPr>
                <w:rFonts w:eastAsia="方正仿宋_GB2312"/>
                <w:bCs/>
                <w:color w:val="auto"/>
                <w:sz w:val="24"/>
              </w:rPr>
              <w:t>采购内容</w:t>
            </w:r>
          </w:p>
        </w:tc>
        <w:tc>
          <w:tcPr>
            <w:tcW w:w="70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eastAsia="方正仿宋_GB2312"/>
                <w:bCs/>
                <w:color w:val="auto"/>
                <w:sz w:val="24"/>
              </w:rPr>
            </w:pPr>
            <w:r>
              <w:rPr>
                <w:rFonts w:eastAsia="方正仿宋_GB2312"/>
                <w:bCs/>
                <w:color w:val="auto"/>
                <w:sz w:val="24"/>
              </w:rPr>
              <w:t>数量</w:t>
            </w:r>
          </w:p>
        </w:tc>
        <w:tc>
          <w:tcPr>
            <w:tcW w:w="188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eastAsia="方正仿宋_GB2312"/>
                <w:bCs/>
                <w:color w:val="auto"/>
                <w:sz w:val="24"/>
              </w:rPr>
            </w:pPr>
            <w:bookmarkStart w:id="9" w:name="OLE_LINK55"/>
            <w:bookmarkStart w:id="10" w:name="OLE_LINK56"/>
            <w:r>
              <w:rPr>
                <w:rFonts w:eastAsia="方正仿宋_GB2312"/>
                <w:bCs/>
                <w:color w:val="auto"/>
                <w:sz w:val="24"/>
              </w:rPr>
              <w:t>项目最高限价</w:t>
            </w:r>
          </w:p>
          <w:p>
            <w:pPr>
              <w:snapToGrid w:val="0"/>
              <w:spacing w:line="400" w:lineRule="exact"/>
              <w:jc w:val="center"/>
              <w:rPr>
                <w:rFonts w:eastAsia="方正仿宋_GB2312"/>
                <w:bCs/>
                <w:color w:val="auto"/>
                <w:sz w:val="24"/>
              </w:rPr>
            </w:pPr>
            <w:r>
              <w:rPr>
                <w:rFonts w:eastAsia="方正仿宋_GB2312"/>
                <w:bCs/>
                <w:color w:val="auto"/>
                <w:sz w:val="24"/>
              </w:rPr>
              <w:t>（元）</w:t>
            </w:r>
            <w:bookmarkEnd w:id="9"/>
            <w:bookmarkEnd w:id="1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9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eastAsia="方正仿宋_GB2312"/>
                <w:color w:val="auto"/>
                <w:sz w:val="24"/>
                <w:highlight w:val="none"/>
              </w:rPr>
            </w:pPr>
            <w:r>
              <w:rPr>
                <w:rFonts w:eastAsia="方正仿宋_GB2312"/>
                <w:color w:val="auto"/>
                <w:sz w:val="24"/>
                <w:highlight w:val="none"/>
              </w:rPr>
              <w:t>1</w:t>
            </w:r>
          </w:p>
        </w:tc>
        <w:tc>
          <w:tcPr>
            <w:tcW w:w="5130" w:type="dxa"/>
            <w:tcBorders>
              <w:top w:val="single" w:color="auto" w:sz="4" w:space="0"/>
              <w:left w:val="single" w:color="auto" w:sz="4" w:space="0"/>
              <w:bottom w:val="single" w:color="auto" w:sz="4" w:space="0"/>
              <w:right w:val="single" w:color="auto" w:sz="4" w:space="0"/>
            </w:tcBorders>
            <w:vAlign w:val="center"/>
          </w:tcPr>
          <w:p>
            <w:pPr>
              <w:spacing w:line="400" w:lineRule="exact"/>
              <w:rPr>
                <w:rFonts w:eastAsia="方正仿宋_GB2312"/>
                <w:color w:val="auto"/>
                <w:sz w:val="24"/>
                <w:highlight w:val="none"/>
              </w:rPr>
            </w:pPr>
            <w:r>
              <w:rPr>
                <w:rFonts w:hint="default" w:ascii="Times New Roman" w:hAnsi="Times New Roman" w:eastAsia="方正仿宋_GB2312" w:cs="Times New Roman"/>
                <w:color w:val="auto"/>
                <w:sz w:val="24"/>
                <w:szCs w:val="24"/>
                <w:highlight w:val="none"/>
                <w:lang w:val="en-US" w:eastAsia="zh-CN"/>
              </w:rPr>
              <w:t>“中国—东盟经贸通”公共服务线上平台（一期）建设项目</w:t>
            </w:r>
            <w:r>
              <w:rPr>
                <w:rFonts w:hint="default" w:ascii="Times New Roman" w:hAnsi="Times New Roman" w:eastAsia="方正仿宋_GB2312" w:cs="Times New Roman"/>
                <w:color w:val="auto"/>
                <w:sz w:val="24"/>
                <w:szCs w:val="24"/>
                <w:highlight w:val="none"/>
              </w:rPr>
              <w:t>，具体详见竞争性磋商文件《服务内容及目标》</w:t>
            </w:r>
            <w:r>
              <w:rPr>
                <w:rFonts w:hint="default" w:ascii="Times New Roman" w:hAnsi="Times New Roman" w:eastAsia="方正仿宋_GB2312" w:cs="Times New Roman"/>
                <w:color w:val="auto"/>
                <w:sz w:val="24"/>
                <w:szCs w:val="24"/>
                <w:highlight w:val="none"/>
                <w:lang w:val="en-US" w:eastAsia="zh-CN"/>
              </w:rPr>
              <w:t>及项目需求清单</w:t>
            </w:r>
            <w:r>
              <w:rPr>
                <w:rFonts w:hint="default" w:ascii="Times New Roman" w:hAnsi="Times New Roman" w:eastAsia="方正仿宋_GB2312" w:cs="Times New Roman"/>
                <w:color w:val="auto"/>
                <w:sz w:val="24"/>
                <w:szCs w:val="24"/>
                <w:highlight w:val="none"/>
              </w:rPr>
              <w:t>。</w:t>
            </w:r>
          </w:p>
        </w:tc>
        <w:tc>
          <w:tcPr>
            <w:tcW w:w="70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eastAsia="方正仿宋_GB2312"/>
                <w:color w:val="auto"/>
                <w:sz w:val="24"/>
                <w:highlight w:val="none"/>
              </w:rPr>
            </w:pPr>
            <w:r>
              <w:rPr>
                <w:rFonts w:eastAsia="方正仿宋_GB2312"/>
                <w:color w:val="auto"/>
                <w:sz w:val="24"/>
                <w:highlight w:val="none"/>
              </w:rPr>
              <w:t>1</w:t>
            </w:r>
          </w:p>
        </w:tc>
        <w:tc>
          <w:tcPr>
            <w:tcW w:w="188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eastAsia="方正仿宋_GB2312"/>
                <w:color w:val="auto"/>
                <w:sz w:val="24"/>
                <w:highlight w:val="none"/>
                <w:lang w:val="en-US" w:eastAsia="zh-CN"/>
              </w:rPr>
            </w:pPr>
            <w:r>
              <w:rPr>
                <w:rFonts w:hint="eastAsia" w:eastAsia="方正仿宋_GB2312"/>
                <w:color w:val="auto"/>
                <w:sz w:val="24"/>
                <w:highlight w:val="none"/>
                <w:lang w:val="en-US" w:eastAsia="zh-CN"/>
              </w:rPr>
              <w:t>198000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91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eastAsia="方正仿宋_GB2312"/>
                <w:color w:val="auto"/>
                <w:sz w:val="24"/>
              </w:rPr>
            </w:pPr>
            <w:r>
              <w:rPr>
                <w:rFonts w:eastAsia="方正仿宋_GB2312"/>
                <w:color w:val="auto"/>
                <w:sz w:val="24"/>
              </w:rPr>
              <w:t>说明</w:t>
            </w:r>
          </w:p>
        </w:tc>
        <w:tc>
          <w:tcPr>
            <w:tcW w:w="7716" w:type="dxa"/>
            <w:gridSpan w:val="3"/>
            <w:tcBorders>
              <w:top w:val="single" w:color="auto" w:sz="4" w:space="0"/>
              <w:left w:val="single" w:color="auto" w:sz="4" w:space="0"/>
              <w:bottom w:val="single" w:color="auto" w:sz="4" w:space="0"/>
              <w:right w:val="single" w:color="auto" w:sz="4" w:space="0"/>
            </w:tcBorders>
          </w:tcPr>
          <w:p>
            <w:pPr>
              <w:snapToGrid w:val="0"/>
              <w:spacing w:line="400" w:lineRule="exact"/>
              <w:rPr>
                <w:rFonts w:eastAsia="方正仿宋_GB2312"/>
                <w:color w:val="auto"/>
                <w:sz w:val="24"/>
              </w:rPr>
            </w:pPr>
            <w:r>
              <w:rPr>
                <w:rFonts w:eastAsia="方正仿宋_GB2312"/>
                <w:color w:val="auto"/>
                <w:sz w:val="24"/>
              </w:rPr>
              <w:t>竞标人投标总价不能超过以上最高限价，否则投标无效。</w:t>
            </w:r>
          </w:p>
        </w:tc>
      </w:tr>
    </w:tbl>
    <w:p>
      <w:pPr>
        <w:numPr>
          <w:ilvl w:val="0"/>
          <w:numId w:val="0"/>
        </w:numPr>
        <w:spacing w:after="160" w:line="560" w:lineRule="exact"/>
        <w:ind w:firstLine="640" w:firstLineChars="20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四、竞标人资格：</w:t>
      </w:r>
      <w:bookmarkStart w:id="11" w:name="heading_13"/>
    </w:p>
    <w:p>
      <w:pPr>
        <w:keepNext w:val="0"/>
        <w:keepLines w:val="0"/>
        <w:pageBreakBefore w:val="0"/>
        <w:widowControl w:val="0"/>
        <w:kinsoku/>
        <w:wordWrap/>
        <w:overflowPunct/>
        <w:topLinePunct w:val="0"/>
        <w:autoSpaceDE/>
        <w:autoSpaceDN/>
        <w:bidi w:val="0"/>
        <w:adjustRightInd/>
        <w:snapToGrid/>
        <w:spacing w:line="600" w:lineRule="exact"/>
        <w:ind w:firstLine="641" w:firstLineChars="200"/>
        <w:textAlignment w:val="auto"/>
        <w:rPr>
          <w:rFonts w:hint="eastAsia" w:ascii="楷体" w:hAnsi="楷体" w:eastAsia="楷体" w:cs="楷体"/>
          <w:b/>
          <w:bCs w:val="0"/>
          <w:color w:val="auto"/>
          <w:kern w:val="2"/>
          <w:sz w:val="32"/>
          <w:szCs w:val="32"/>
          <w:lang w:val="en-US" w:eastAsia="zh-CN" w:bidi="ar-SA"/>
        </w:rPr>
      </w:pPr>
      <w:r>
        <w:rPr>
          <w:rFonts w:hint="eastAsia" w:ascii="楷体" w:hAnsi="楷体" w:eastAsia="楷体" w:cs="楷体"/>
          <w:b/>
          <w:bCs w:val="0"/>
          <w:color w:val="auto"/>
          <w:kern w:val="2"/>
          <w:sz w:val="32"/>
          <w:szCs w:val="32"/>
          <w:lang w:val="en-US" w:eastAsia="zh-CN" w:bidi="ar-SA"/>
        </w:rPr>
        <w:t>（一）基础条件</w:t>
      </w:r>
      <w:bookmarkEnd w:id="1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bCs/>
          <w:color w:val="auto"/>
          <w:kern w:val="2"/>
          <w:sz w:val="32"/>
          <w:szCs w:val="32"/>
          <w:highlight w:val="none"/>
          <w:lang w:val="en-US" w:eastAsia="zh-CN" w:bidi="ar-SA"/>
        </w:rPr>
      </w:pPr>
      <w:r>
        <w:rPr>
          <w:rFonts w:hint="default" w:ascii="Times New Roman" w:hAnsi="Times New Roman" w:eastAsia="方正仿宋_GB2312" w:cs="Times New Roman"/>
          <w:bCs/>
          <w:color w:val="auto"/>
          <w:kern w:val="2"/>
          <w:sz w:val="32"/>
          <w:szCs w:val="32"/>
          <w:highlight w:val="none"/>
          <w:lang w:val="en-US" w:eastAsia="zh-CN" w:bidi="ar-SA"/>
        </w:rPr>
        <w:t>1.</w:t>
      </w:r>
      <w:r>
        <w:rPr>
          <w:rFonts w:hint="eastAsia" w:eastAsia="方正仿宋_GB2312" w:cs="Times New Roman"/>
          <w:bCs/>
          <w:color w:val="auto"/>
          <w:kern w:val="2"/>
          <w:sz w:val="32"/>
          <w:szCs w:val="32"/>
          <w:highlight w:val="none"/>
          <w:lang w:val="en-US" w:eastAsia="zh-CN" w:bidi="ar-SA"/>
        </w:rPr>
        <w:t>竞标</w:t>
      </w:r>
      <w:r>
        <w:rPr>
          <w:rFonts w:hint="default" w:ascii="Times New Roman" w:hAnsi="Times New Roman" w:eastAsia="方正仿宋_GB2312" w:cs="Times New Roman"/>
          <w:bCs/>
          <w:color w:val="auto"/>
          <w:kern w:val="2"/>
          <w:sz w:val="32"/>
          <w:szCs w:val="32"/>
          <w:highlight w:val="none"/>
          <w:lang w:val="en-US" w:eastAsia="zh-CN" w:bidi="ar-SA"/>
        </w:rPr>
        <w:t>人应具备独立法人资格，营业执照经营范围包含“软件开发”“数字技术服务”“技术服务”“大数据服务”“技术开发”等相关类目。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bCs/>
          <w:color w:val="auto"/>
          <w:kern w:val="2"/>
          <w:sz w:val="32"/>
          <w:szCs w:val="32"/>
          <w:lang w:val="en-US" w:eastAsia="zh-CN" w:bidi="ar-SA"/>
        </w:rPr>
      </w:pPr>
      <w:r>
        <w:rPr>
          <w:rFonts w:hint="default" w:ascii="Times New Roman" w:hAnsi="Times New Roman" w:eastAsia="方正仿宋_GB2312" w:cs="Times New Roman"/>
          <w:bCs/>
          <w:color w:val="auto"/>
          <w:kern w:val="2"/>
          <w:sz w:val="32"/>
          <w:szCs w:val="32"/>
          <w:highlight w:val="none"/>
          <w:lang w:val="en-US" w:eastAsia="zh-CN" w:bidi="ar-SA"/>
        </w:rPr>
        <w:t>2.</w:t>
      </w:r>
      <w:r>
        <w:rPr>
          <w:rFonts w:hint="eastAsia" w:eastAsia="方正仿宋_GB2312" w:cs="Times New Roman"/>
          <w:bCs/>
          <w:color w:val="auto"/>
          <w:kern w:val="2"/>
          <w:sz w:val="32"/>
          <w:szCs w:val="32"/>
          <w:highlight w:val="none"/>
          <w:lang w:val="en-US" w:eastAsia="zh-CN" w:bidi="ar-SA"/>
        </w:rPr>
        <w:t>竞标</w:t>
      </w:r>
      <w:r>
        <w:rPr>
          <w:rFonts w:hint="default" w:ascii="Times New Roman" w:hAnsi="Times New Roman" w:eastAsia="方正仿宋_GB2312" w:cs="Times New Roman"/>
          <w:bCs/>
          <w:color w:val="auto"/>
          <w:kern w:val="2"/>
          <w:sz w:val="32"/>
          <w:szCs w:val="32"/>
          <w:highlight w:val="none"/>
          <w:lang w:val="en-US" w:eastAsia="zh-CN" w:bidi="ar-SA"/>
        </w:rPr>
        <w:t>人应守诚信、形象好、实力强、服务能力</w:t>
      </w:r>
      <w:r>
        <w:rPr>
          <w:rFonts w:hint="default" w:ascii="Times New Roman" w:hAnsi="Times New Roman" w:eastAsia="方正仿宋_GB2312" w:cs="Times New Roman"/>
          <w:bCs/>
          <w:color w:val="auto"/>
          <w:kern w:val="2"/>
          <w:sz w:val="32"/>
          <w:szCs w:val="32"/>
          <w:lang w:val="en-US" w:eastAsia="zh-CN" w:bidi="ar-SA"/>
        </w:rPr>
        <w:t>强且具备履约能力；应为未被 “信用中国” 列入 “黑名单”、未因虚假宣传、数据造假等行为被行政处罚。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bCs/>
          <w:color w:val="auto"/>
          <w:kern w:val="2"/>
          <w:sz w:val="32"/>
          <w:szCs w:val="32"/>
          <w:lang w:val="en-US" w:eastAsia="zh-CN" w:bidi="ar-SA"/>
        </w:rPr>
      </w:pPr>
      <w:r>
        <w:rPr>
          <w:rFonts w:hint="default" w:ascii="Times New Roman" w:hAnsi="Times New Roman" w:eastAsia="方正仿宋_GB2312" w:cs="Times New Roman"/>
          <w:bCs/>
          <w:color w:val="auto"/>
          <w:kern w:val="2"/>
          <w:sz w:val="32"/>
          <w:szCs w:val="32"/>
          <w:lang w:val="en-US" w:eastAsia="zh-CN" w:bidi="ar-SA"/>
        </w:rPr>
        <w:t>3.</w:t>
      </w:r>
      <w:r>
        <w:rPr>
          <w:rFonts w:hint="eastAsia" w:eastAsia="方正仿宋_GB2312" w:cs="Times New Roman"/>
          <w:bCs/>
          <w:color w:val="auto"/>
          <w:kern w:val="2"/>
          <w:sz w:val="32"/>
          <w:szCs w:val="32"/>
          <w:highlight w:val="none"/>
          <w:lang w:val="en-US" w:eastAsia="zh-CN" w:bidi="ar-SA"/>
        </w:rPr>
        <w:t>竞标</w:t>
      </w:r>
      <w:r>
        <w:rPr>
          <w:rFonts w:hint="default" w:ascii="Times New Roman" w:hAnsi="Times New Roman" w:eastAsia="方正仿宋_GB2312" w:cs="Times New Roman"/>
          <w:bCs/>
          <w:color w:val="auto"/>
          <w:kern w:val="2"/>
          <w:sz w:val="32"/>
          <w:szCs w:val="32"/>
          <w:highlight w:val="none"/>
          <w:lang w:val="en-US" w:eastAsia="zh-CN" w:bidi="ar-SA"/>
        </w:rPr>
        <w:t>人</w:t>
      </w:r>
      <w:r>
        <w:rPr>
          <w:rFonts w:hint="default" w:ascii="Times New Roman" w:hAnsi="Times New Roman" w:eastAsia="方正仿宋_GB2312" w:cs="Times New Roman"/>
          <w:bCs/>
          <w:color w:val="auto"/>
          <w:kern w:val="2"/>
          <w:sz w:val="32"/>
          <w:szCs w:val="32"/>
          <w:lang w:val="en-US" w:eastAsia="zh-CN" w:bidi="ar-SA"/>
        </w:rPr>
        <w:t>近三年内无违法违规记录，无重大负面舆情。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bCs/>
          <w:color w:val="auto"/>
          <w:kern w:val="2"/>
          <w:sz w:val="32"/>
          <w:szCs w:val="32"/>
          <w:lang w:val="en-US" w:eastAsia="zh-CN" w:bidi="ar-SA"/>
        </w:rPr>
      </w:pPr>
      <w:r>
        <w:rPr>
          <w:rFonts w:hint="default" w:ascii="Times New Roman" w:hAnsi="Times New Roman" w:eastAsia="方正仿宋_GB2312" w:cs="Times New Roman"/>
          <w:bCs/>
          <w:color w:val="auto"/>
          <w:kern w:val="2"/>
          <w:sz w:val="32"/>
          <w:szCs w:val="32"/>
          <w:lang w:val="en-US" w:eastAsia="zh-CN" w:bidi="ar-SA"/>
        </w:rPr>
        <w:t>承诺并保证，不得透露任何经贸中心认为的保密信息，不得以任何形式关联经贸中心进行未经授权的商业宣传。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bCs/>
          <w:color w:val="auto"/>
          <w:kern w:val="2"/>
          <w:sz w:val="32"/>
          <w:szCs w:val="32"/>
          <w:lang w:val="en-US" w:eastAsia="zh-CN" w:bidi="ar-SA"/>
        </w:rPr>
      </w:pPr>
      <w:r>
        <w:rPr>
          <w:rFonts w:hint="default" w:ascii="Times New Roman" w:hAnsi="Times New Roman" w:eastAsia="方正仿宋_GB2312" w:cs="Times New Roman"/>
          <w:bCs/>
          <w:color w:val="auto"/>
          <w:kern w:val="2"/>
          <w:sz w:val="32"/>
          <w:szCs w:val="32"/>
          <w:lang w:val="en-US" w:eastAsia="zh-CN" w:bidi="ar-SA"/>
        </w:rPr>
        <w:t>项目建成后，平台所有权及相关数据归属经贸中心所有，应征人不得私自留存、使用或泄露平台用户信息。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bCs/>
          <w:color w:val="auto"/>
          <w:kern w:val="2"/>
          <w:sz w:val="32"/>
          <w:szCs w:val="32"/>
          <w:highlight w:val="none"/>
          <w:lang w:val="en-US" w:eastAsia="zh-CN" w:bidi="ar-SA"/>
        </w:rPr>
      </w:pPr>
      <w:bookmarkStart w:id="12" w:name="heading_14"/>
      <w:r>
        <w:rPr>
          <w:rFonts w:hint="default" w:ascii="Times New Roman" w:hAnsi="Times New Roman" w:eastAsia="方正仿宋_GB2312" w:cs="Times New Roman"/>
          <w:bCs/>
          <w:color w:val="auto"/>
          <w:kern w:val="2"/>
          <w:sz w:val="32"/>
          <w:szCs w:val="32"/>
          <w:highlight w:val="none"/>
          <w:lang w:val="en-US" w:eastAsia="zh-CN" w:bidi="ar-SA"/>
        </w:rPr>
        <w:t>（二）团队与经验要求</w:t>
      </w:r>
      <w:bookmarkEnd w:id="1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bCs/>
          <w:strike/>
          <w:dstrike w:val="0"/>
          <w:color w:val="auto"/>
          <w:kern w:val="2"/>
          <w:sz w:val="32"/>
          <w:szCs w:val="32"/>
          <w:highlight w:val="none"/>
          <w:lang w:val="en-US" w:eastAsia="zh-CN" w:bidi="ar-SA"/>
        </w:rPr>
      </w:pPr>
      <w:r>
        <w:rPr>
          <w:rFonts w:hint="default" w:ascii="Times New Roman" w:hAnsi="Times New Roman" w:eastAsia="方正仿宋_GB2312" w:cs="Times New Roman"/>
          <w:bCs/>
          <w:color w:val="auto"/>
          <w:kern w:val="2"/>
          <w:sz w:val="32"/>
          <w:szCs w:val="32"/>
          <w:highlight w:val="none"/>
          <w:lang w:val="en-US" w:eastAsia="zh-CN" w:bidi="ar-SA"/>
        </w:rPr>
        <w:t>1.供应商须承诺为本项目组建</w:t>
      </w:r>
      <w:r>
        <w:rPr>
          <w:rFonts w:hint="default" w:ascii="Times New Roman" w:hAnsi="Times New Roman" w:eastAsia="方正仿宋_GB2312" w:cs="Times New Roman"/>
          <w:b/>
          <w:bCs w:val="0"/>
          <w:color w:val="auto"/>
          <w:kern w:val="2"/>
          <w:sz w:val="32"/>
          <w:szCs w:val="32"/>
          <w:highlight w:val="none"/>
          <w:lang w:val="en-US" w:eastAsia="zh-CN" w:bidi="ar-SA"/>
        </w:rPr>
        <w:t>具备相应资质、经验及专业能力的服务团队，</w:t>
      </w:r>
      <w:r>
        <w:rPr>
          <w:rFonts w:hint="default" w:ascii="Times New Roman" w:hAnsi="Times New Roman" w:eastAsia="方正仿宋_GB2312" w:cs="Times New Roman"/>
          <w:bCs/>
          <w:color w:val="auto"/>
          <w:kern w:val="2"/>
          <w:sz w:val="32"/>
          <w:szCs w:val="32"/>
          <w:highlight w:val="none"/>
          <w:lang w:val="en-US" w:eastAsia="zh-CN" w:bidi="ar-SA"/>
        </w:rPr>
        <w:t>团队核心成员应至少包含项目负责人（或项目经理）、技术开发负责人、运营维护负责人等关键岗位。供应商须在响应文件中提供项目团队组成方案，明确各岗位的人员配置、职责分工及专业能力说明。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bCs/>
          <w:strike/>
          <w:dstrike w:val="0"/>
          <w:color w:val="auto"/>
          <w:kern w:val="2"/>
          <w:sz w:val="32"/>
          <w:szCs w:val="32"/>
          <w:highlight w:val="none"/>
          <w:lang w:val="en-US" w:eastAsia="zh-CN" w:bidi="ar-SA"/>
        </w:rPr>
      </w:pPr>
      <w:r>
        <w:rPr>
          <w:rFonts w:hint="default" w:ascii="Times New Roman" w:hAnsi="Times New Roman" w:eastAsia="方正仿宋_GB2312" w:cs="Times New Roman"/>
          <w:bCs/>
          <w:color w:val="auto"/>
          <w:kern w:val="2"/>
          <w:sz w:val="32"/>
          <w:szCs w:val="32"/>
          <w:highlight w:val="none"/>
          <w:lang w:val="en-US" w:eastAsia="zh-CN" w:bidi="ar-SA"/>
        </w:rPr>
        <w:t>2.具有跨境经贸服务经验或相关资源者优先考虑</w:t>
      </w:r>
      <w:r>
        <w:rPr>
          <w:rFonts w:hint="eastAsia" w:eastAsia="方正仿宋_GB2312" w:cs="Times New Roman"/>
          <w:bCs/>
          <w:color w:val="auto"/>
          <w:kern w:val="2"/>
          <w:sz w:val="32"/>
          <w:szCs w:val="32"/>
          <w:highlight w:val="none"/>
          <w:lang w:val="en-US" w:eastAsia="zh-CN" w:bidi="ar-SA"/>
        </w:rPr>
        <w:t>。</w:t>
      </w:r>
    </w:p>
    <w:p>
      <w:pPr>
        <w:pStyle w:val="9"/>
        <w:adjustRightInd w:val="0"/>
        <w:snapToGrid w:val="0"/>
        <w:spacing w:line="600" w:lineRule="exact"/>
        <w:ind w:firstLine="641" w:firstLineChars="200"/>
        <w:rPr>
          <w:rFonts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五、获取竞争性磋商文件：</w:t>
      </w:r>
    </w:p>
    <w:p>
      <w:pPr>
        <w:spacing w:line="600" w:lineRule="exact"/>
        <w:ind w:firstLine="640" w:firstLineChars="200"/>
        <w:jc w:val="left"/>
        <w:rPr>
          <w:rFonts w:eastAsia="仿宋_GB2312"/>
          <w:color w:val="auto"/>
          <w:sz w:val="32"/>
          <w:szCs w:val="32"/>
          <w:highlight w:val="none"/>
        </w:rPr>
      </w:pPr>
      <w:bookmarkStart w:id="13" w:name="_Hlk77932365"/>
      <w:r>
        <w:rPr>
          <w:rFonts w:ascii="Times New Roman Regular" w:hAnsi="Times New Roman Regular" w:eastAsia="方正仿宋_GB2312" w:cs="Times New Roman Regular"/>
          <w:color w:val="auto"/>
          <w:sz w:val="32"/>
          <w:szCs w:val="32"/>
          <w:highlight w:val="none"/>
        </w:rPr>
        <w:t>请于</w:t>
      </w:r>
      <w:bookmarkEnd w:id="13"/>
      <w:r>
        <w:rPr>
          <w:rFonts w:ascii="Times New Roman Regular" w:hAnsi="Times New Roman Regular" w:eastAsia="方正仿宋_GB2312" w:cs="Times New Roman Regular"/>
          <w:color w:val="auto"/>
          <w:sz w:val="32"/>
          <w:szCs w:val="32"/>
          <w:highlight w:val="none"/>
        </w:rPr>
        <w:t>202</w:t>
      </w:r>
      <w:r>
        <w:rPr>
          <w:rFonts w:hint="eastAsia" w:ascii="Times New Roman Regular" w:hAnsi="Times New Roman Regular" w:eastAsia="方正仿宋_GB2312" w:cs="Times New Roman Regular"/>
          <w:color w:val="auto"/>
          <w:sz w:val="32"/>
          <w:szCs w:val="32"/>
          <w:highlight w:val="none"/>
        </w:rPr>
        <w:t>6</w:t>
      </w:r>
      <w:r>
        <w:rPr>
          <w:rFonts w:ascii="Times New Roman Regular" w:hAnsi="Times New Roman Regular" w:eastAsia="方正仿宋_GB2312" w:cs="Times New Roman Regular"/>
          <w:color w:val="auto"/>
          <w:sz w:val="32"/>
          <w:szCs w:val="32"/>
          <w:highlight w:val="none"/>
        </w:rPr>
        <w:t>年</w:t>
      </w:r>
      <w:r>
        <w:rPr>
          <w:rFonts w:hint="eastAsia" w:ascii="Times New Roman Regular" w:hAnsi="Times New Roman Regular" w:eastAsia="方正仿宋_GB2312" w:cs="Times New Roman Regular"/>
          <w:color w:val="auto"/>
          <w:sz w:val="32"/>
          <w:szCs w:val="32"/>
          <w:highlight w:val="none"/>
        </w:rPr>
        <w:t>8</w:t>
      </w:r>
      <w:r>
        <w:rPr>
          <w:rFonts w:ascii="Times New Roman Regular" w:hAnsi="Times New Roman Regular" w:eastAsia="方正仿宋_GB2312" w:cs="Times New Roman Regular"/>
          <w:color w:val="auto"/>
          <w:sz w:val="32"/>
          <w:szCs w:val="32"/>
          <w:highlight w:val="none"/>
        </w:rPr>
        <w:t>月</w:t>
      </w:r>
      <w:r>
        <w:rPr>
          <w:rFonts w:hint="eastAsia" w:ascii="Times New Roman Regular" w:hAnsi="Times New Roman Regular" w:eastAsia="方正仿宋_GB2312" w:cs="Times New Roman Regular"/>
          <w:color w:val="auto"/>
          <w:sz w:val="32"/>
          <w:szCs w:val="32"/>
          <w:highlight w:val="none"/>
          <w:lang w:val="en-US" w:eastAsia="zh-CN"/>
        </w:rPr>
        <w:t>26</w:t>
      </w:r>
      <w:r>
        <w:rPr>
          <w:rFonts w:ascii="Times New Roman Regular" w:hAnsi="Times New Roman Regular" w:eastAsia="方正仿宋_GB2312" w:cs="Times New Roman Regular"/>
          <w:color w:val="auto"/>
          <w:sz w:val="32"/>
          <w:szCs w:val="32"/>
          <w:highlight w:val="none"/>
        </w:rPr>
        <w:t>日</w:t>
      </w:r>
      <w:r>
        <w:rPr>
          <w:rFonts w:hint="eastAsia" w:ascii="Times New Roman Regular" w:hAnsi="Times New Roman Regular" w:eastAsia="方正仿宋_GB2312" w:cs="Times New Roman Regular"/>
          <w:color w:val="auto"/>
          <w:sz w:val="32"/>
          <w:szCs w:val="32"/>
          <w:highlight w:val="none"/>
          <w:lang w:val="en-US" w:eastAsia="zh-CN"/>
        </w:rPr>
        <w:t>08</w:t>
      </w:r>
      <w:r>
        <w:rPr>
          <w:rFonts w:hint="default" w:ascii="Times New Roman Regular" w:hAnsi="Times New Roman Regular" w:eastAsia="方正仿宋_GB2312" w:cs="Times New Roman Regular"/>
          <w:color w:val="auto"/>
          <w:sz w:val="32"/>
          <w:szCs w:val="32"/>
          <w:highlight w:val="none"/>
        </w:rPr>
        <w:t>时</w:t>
      </w:r>
      <w:r>
        <w:rPr>
          <w:rFonts w:hint="eastAsia" w:ascii="Times New Roman Regular" w:hAnsi="Times New Roman Regular" w:eastAsia="方正仿宋_GB2312" w:cs="Times New Roman Regular"/>
          <w:color w:val="auto"/>
          <w:sz w:val="32"/>
          <w:szCs w:val="32"/>
          <w:highlight w:val="none"/>
          <w:lang w:val="en-US" w:eastAsia="zh-CN"/>
        </w:rPr>
        <w:t>00</w:t>
      </w:r>
      <w:r>
        <w:rPr>
          <w:rFonts w:hint="default" w:ascii="Times New Roman Regular" w:hAnsi="Times New Roman Regular" w:eastAsia="方正仿宋_GB2312" w:cs="Times New Roman Regular"/>
          <w:color w:val="auto"/>
          <w:sz w:val="32"/>
          <w:szCs w:val="32"/>
          <w:highlight w:val="none"/>
        </w:rPr>
        <w:t>分至</w:t>
      </w:r>
      <w:r>
        <w:rPr>
          <w:rFonts w:hint="default" w:ascii="Times New Roman Regular" w:hAnsi="Times New Roman Regular" w:eastAsia="方正仿宋_GB2312" w:cs="Times New Roman Regular"/>
          <w:color w:val="auto"/>
          <w:sz w:val="32"/>
          <w:szCs w:val="32"/>
          <w:highlight w:val="none"/>
          <w:lang w:eastAsia="zh-CN"/>
        </w:rPr>
        <w:t>202</w:t>
      </w:r>
      <w:r>
        <w:rPr>
          <w:rFonts w:hint="eastAsia" w:ascii="Times New Roman Regular" w:hAnsi="Times New Roman Regular" w:eastAsia="方正仿宋_GB2312" w:cs="Times New Roman Regular"/>
          <w:color w:val="auto"/>
          <w:sz w:val="32"/>
          <w:szCs w:val="32"/>
          <w:highlight w:val="none"/>
          <w:lang w:val="en-US" w:eastAsia="zh-CN"/>
        </w:rPr>
        <w:t>6</w:t>
      </w:r>
      <w:r>
        <w:rPr>
          <w:rFonts w:hint="default" w:ascii="Times New Roman Regular" w:hAnsi="Times New Roman Regular" w:eastAsia="方正仿宋_GB2312" w:cs="Times New Roman Regular"/>
          <w:color w:val="auto"/>
          <w:sz w:val="32"/>
          <w:szCs w:val="32"/>
          <w:highlight w:val="none"/>
          <w:lang w:eastAsia="zh-CN"/>
        </w:rPr>
        <w:t>年</w:t>
      </w:r>
      <w:r>
        <w:rPr>
          <w:rFonts w:hint="eastAsia" w:ascii="Times New Roman Regular" w:hAnsi="Times New Roman Regular" w:eastAsia="方正仿宋_GB2312" w:cs="Times New Roman Regular"/>
          <w:color w:val="auto"/>
          <w:sz w:val="32"/>
          <w:szCs w:val="32"/>
          <w:highlight w:val="none"/>
          <w:lang w:val="en-US" w:eastAsia="zh-CN"/>
        </w:rPr>
        <w:t>8</w:t>
      </w:r>
      <w:r>
        <w:rPr>
          <w:rFonts w:hint="default" w:ascii="Times New Roman Regular" w:hAnsi="Times New Roman Regular" w:eastAsia="方正仿宋_GB2312" w:cs="Times New Roman Regular"/>
          <w:color w:val="auto"/>
          <w:sz w:val="32"/>
          <w:szCs w:val="32"/>
          <w:highlight w:val="none"/>
          <w:lang w:eastAsia="zh-CN"/>
        </w:rPr>
        <w:t>月</w:t>
      </w:r>
      <w:r>
        <w:rPr>
          <w:rFonts w:hint="eastAsia" w:ascii="Times New Roman Regular" w:hAnsi="Times New Roman Regular" w:eastAsia="方正仿宋_GB2312" w:cs="Times New Roman Regular"/>
          <w:color w:val="auto"/>
          <w:sz w:val="32"/>
          <w:szCs w:val="32"/>
          <w:highlight w:val="none"/>
          <w:lang w:val="en-US" w:eastAsia="zh-CN"/>
        </w:rPr>
        <w:t>28</w:t>
      </w:r>
      <w:r>
        <w:rPr>
          <w:rFonts w:hint="default" w:ascii="Times New Roman Regular" w:hAnsi="Times New Roman Regular" w:eastAsia="方正仿宋_GB2312" w:cs="Times New Roman Regular"/>
          <w:color w:val="auto"/>
          <w:sz w:val="32"/>
          <w:szCs w:val="32"/>
          <w:highlight w:val="none"/>
          <w:lang w:eastAsia="zh-CN"/>
        </w:rPr>
        <w:t>日</w:t>
      </w:r>
      <w:r>
        <w:rPr>
          <w:rFonts w:hint="eastAsia" w:ascii="Times New Roman Regular" w:hAnsi="Times New Roman Regular" w:eastAsia="方正仿宋_GB2312" w:cs="Times New Roman Regular"/>
          <w:color w:val="auto"/>
          <w:sz w:val="32"/>
          <w:szCs w:val="32"/>
          <w:highlight w:val="none"/>
          <w:lang w:val="en-US" w:eastAsia="zh-CN"/>
        </w:rPr>
        <w:t>18</w:t>
      </w:r>
      <w:r>
        <w:rPr>
          <w:rFonts w:hint="default" w:ascii="Times New Roman Regular" w:hAnsi="Times New Roman Regular" w:eastAsia="方正仿宋_GB2312" w:cs="Times New Roman Regular"/>
          <w:color w:val="auto"/>
          <w:sz w:val="32"/>
          <w:szCs w:val="32"/>
          <w:highlight w:val="none"/>
        </w:rPr>
        <w:t>时</w:t>
      </w:r>
      <w:r>
        <w:rPr>
          <w:rFonts w:hint="eastAsia" w:ascii="Times New Roman Regular" w:hAnsi="Times New Roman Regular" w:eastAsia="方正仿宋_GB2312" w:cs="Times New Roman Regular"/>
          <w:color w:val="auto"/>
          <w:sz w:val="32"/>
          <w:szCs w:val="32"/>
          <w:highlight w:val="none"/>
          <w:lang w:val="en-US" w:eastAsia="zh-CN"/>
        </w:rPr>
        <w:t>00</w:t>
      </w:r>
      <w:r>
        <w:rPr>
          <w:rFonts w:ascii="Times New Roman Regular" w:hAnsi="Times New Roman Regular" w:eastAsia="方正仿宋_GB2312" w:cs="Times New Roman Regular"/>
          <w:color w:val="auto"/>
          <w:sz w:val="32"/>
          <w:szCs w:val="32"/>
          <w:highlight w:val="none"/>
        </w:rPr>
        <w:t>分在广西国际博览集团有限公司官方网站</w:t>
      </w:r>
      <w:r>
        <w:rPr>
          <w:rFonts w:eastAsia="仿宋_GB2312"/>
          <w:color w:val="auto"/>
          <w:sz w:val="32"/>
          <w:szCs w:val="32"/>
          <w:highlight w:val="none"/>
        </w:rPr>
        <w:t>（https://www.gxexpogp.cn/）下载获取。</w:t>
      </w:r>
    </w:p>
    <w:p>
      <w:pPr>
        <w:pStyle w:val="9"/>
        <w:adjustRightInd w:val="0"/>
        <w:snapToGrid w:val="0"/>
        <w:spacing w:line="600" w:lineRule="exact"/>
        <w:ind w:firstLine="641" w:firstLineChars="200"/>
        <w:rPr>
          <w:rFonts w:ascii="方正仿宋_GB2312" w:hAnsi="方正仿宋_GB2312" w:eastAsia="方正仿宋_GB2312" w:cs="方正仿宋_GB2312"/>
          <w:b/>
          <w:color w:val="auto"/>
          <w:sz w:val="32"/>
          <w:szCs w:val="32"/>
          <w:highlight w:val="none"/>
        </w:rPr>
      </w:pPr>
      <w:r>
        <w:rPr>
          <w:rFonts w:hint="eastAsia" w:ascii="方正仿宋_GB2312" w:hAnsi="方正仿宋_GB2312" w:eastAsia="方正仿宋_GB2312" w:cs="方正仿宋_GB2312"/>
          <w:b/>
          <w:color w:val="auto"/>
          <w:sz w:val="32"/>
          <w:szCs w:val="32"/>
          <w:highlight w:val="none"/>
        </w:rPr>
        <w:t>六、</w:t>
      </w:r>
      <w:bookmarkStart w:id="14" w:name="_Hlk77932515"/>
      <w:r>
        <w:rPr>
          <w:rFonts w:hint="eastAsia" w:ascii="方正仿宋_GB2312" w:hAnsi="方正仿宋_GB2312" w:eastAsia="方正仿宋_GB2312" w:cs="方正仿宋_GB2312"/>
          <w:b/>
          <w:color w:val="auto"/>
          <w:sz w:val="32"/>
          <w:szCs w:val="32"/>
          <w:highlight w:val="none"/>
        </w:rPr>
        <w:t>磋商</w:t>
      </w:r>
      <w:bookmarkEnd w:id="14"/>
      <w:r>
        <w:rPr>
          <w:rFonts w:hint="eastAsia" w:ascii="方正仿宋_GB2312" w:hAnsi="方正仿宋_GB2312" w:eastAsia="方正仿宋_GB2312" w:cs="方正仿宋_GB2312"/>
          <w:b/>
          <w:color w:val="auto"/>
          <w:sz w:val="32"/>
          <w:szCs w:val="32"/>
          <w:highlight w:val="none"/>
        </w:rPr>
        <w:t>响应文件递交截止时间和地点：</w:t>
      </w:r>
    </w:p>
    <w:p>
      <w:pPr>
        <w:pStyle w:val="9"/>
        <w:adjustRightInd w:val="0"/>
        <w:snapToGrid w:val="0"/>
        <w:spacing w:line="600" w:lineRule="exact"/>
        <w:ind w:firstLine="640" w:firstLineChars="200"/>
        <w:rPr>
          <w:rFonts w:ascii="Times New Roman Regular" w:hAnsi="Times New Roman Regular" w:eastAsia="方正仿宋_GB2312" w:cs="Times New Roman Regular"/>
          <w:color w:val="auto"/>
          <w:sz w:val="32"/>
          <w:szCs w:val="32"/>
          <w:highlight w:val="none"/>
        </w:rPr>
      </w:pPr>
      <w:r>
        <w:rPr>
          <w:rFonts w:ascii="Times New Roman Regular" w:hAnsi="Times New Roman Regular" w:eastAsia="方正仿宋_GB2312" w:cs="Times New Roman Regular"/>
          <w:color w:val="auto"/>
          <w:sz w:val="32"/>
          <w:szCs w:val="32"/>
          <w:highlight w:val="none"/>
        </w:rPr>
        <w:t>磋商响应文件必须以密封形式于</w:t>
      </w:r>
      <w:bookmarkStart w:id="15" w:name="_Hlk77932887"/>
      <w:r>
        <w:rPr>
          <w:rFonts w:ascii="Times New Roman Regular" w:hAnsi="Times New Roman Regular" w:eastAsia="方正仿宋_GB2312" w:cs="Times New Roman Regular"/>
          <w:color w:val="auto"/>
          <w:sz w:val="32"/>
          <w:szCs w:val="32"/>
          <w:highlight w:val="none"/>
          <w:u w:val="single"/>
        </w:rPr>
        <w:t>202</w:t>
      </w:r>
      <w:r>
        <w:rPr>
          <w:rFonts w:hint="eastAsia" w:ascii="Times New Roman Regular" w:hAnsi="Times New Roman Regular" w:eastAsia="方正仿宋_GB2312" w:cs="Times New Roman Regular"/>
          <w:color w:val="auto"/>
          <w:sz w:val="32"/>
          <w:szCs w:val="32"/>
          <w:highlight w:val="none"/>
          <w:u w:val="single"/>
        </w:rPr>
        <w:t>6</w:t>
      </w:r>
      <w:r>
        <w:rPr>
          <w:rFonts w:ascii="Times New Roman Regular" w:hAnsi="Times New Roman Regular" w:eastAsia="方正仿宋_GB2312" w:cs="Times New Roman Regular"/>
          <w:color w:val="auto"/>
          <w:sz w:val="32"/>
          <w:szCs w:val="32"/>
          <w:highlight w:val="none"/>
          <w:u w:val="single"/>
        </w:rPr>
        <w:t>年</w:t>
      </w:r>
      <w:r>
        <w:rPr>
          <w:rFonts w:hint="eastAsia" w:ascii="Times New Roman Regular" w:hAnsi="Times New Roman Regular" w:eastAsia="方正仿宋_GB2312" w:cs="Times New Roman Regular"/>
          <w:color w:val="auto"/>
          <w:sz w:val="32"/>
          <w:szCs w:val="32"/>
          <w:highlight w:val="none"/>
          <w:u w:val="single"/>
          <w:lang w:val="en-US" w:eastAsia="zh-CN"/>
        </w:rPr>
        <w:t>8</w:t>
      </w:r>
      <w:r>
        <w:rPr>
          <w:rFonts w:ascii="Times New Roman Regular" w:hAnsi="Times New Roman Regular" w:eastAsia="方正仿宋_GB2312" w:cs="Times New Roman Regular"/>
          <w:color w:val="auto"/>
          <w:sz w:val="32"/>
          <w:szCs w:val="32"/>
          <w:highlight w:val="none"/>
          <w:u w:val="single"/>
        </w:rPr>
        <w:t>月</w:t>
      </w:r>
      <w:r>
        <w:rPr>
          <w:rFonts w:hint="eastAsia" w:ascii="Times New Roman Regular" w:hAnsi="Times New Roman Regular" w:eastAsia="方正仿宋_GB2312" w:cs="Times New Roman Regular"/>
          <w:color w:val="auto"/>
          <w:sz w:val="32"/>
          <w:szCs w:val="32"/>
          <w:highlight w:val="none"/>
          <w:u w:val="single"/>
          <w:lang w:val="en-US" w:eastAsia="zh-CN"/>
        </w:rPr>
        <w:t>31</w:t>
      </w:r>
      <w:r>
        <w:rPr>
          <w:rFonts w:ascii="Times New Roman Regular" w:hAnsi="Times New Roman Regular" w:eastAsia="方正仿宋_GB2312" w:cs="Times New Roman Regular"/>
          <w:color w:val="auto"/>
          <w:sz w:val="32"/>
          <w:szCs w:val="32"/>
          <w:highlight w:val="none"/>
          <w:u w:val="single"/>
        </w:rPr>
        <w:t>日</w:t>
      </w:r>
      <w:r>
        <w:rPr>
          <w:rFonts w:hint="eastAsia" w:ascii="Times New Roman Regular" w:hAnsi="Times New Roman Regular" w:eastAsia="方正仿宋_GB2312" w:cs="Times New Roman Regular"/>
          <w:color w:val="auto"/>
          <w:sz w:val="32"/>
          <w:szCs w:val="32"/>
          <w:highlight w:val="none"/>
          <w:u w:val="single"/>
        </w:rPr>
        <w:t>上</w:t>
      </w:r>
      <w:r>
        <w:rPr>
          <w:rFonts w:ascii="Times New Roman Regular" w:hAnsi="Times New Roman Regular" w:eastAsia="方正仿宋_GB2312" w:cs="Times New Roman Regular"/>
          <w:color w:val="auto"/>
          <w:sz w:val="32"/>
          <w:szCs w:val="32"/>
          <w:highlight w:val="none"/>
          <w:u w:val="single"/>
        </w:rPr>
        <w:t>午</w:t>
      </w:r>
      <w:r>
        <w:rPr>
          <w:rFonts w:hint="eastAsia" w:ascii="Times New Roman Regular" w:hAnsi="Times New Roman Regular" w:eastAsia="方正仿宋_GB2312" w:cs="Times New Roman Regular"/>
          <w:color w:val="auto"/>
          <w:sz w:val="32"/>
          <w:szCs w:val="32"/>
          <w:highlight w:val="none"/>
          <w:u w:val="single"/>
          <w:lang w:val="en-US" w:eastAsia="zh-CN"/>
        </w:rPr>
        <w:t>09</w:t>
      </w:r>
      <w:r>
        <w:rPr>
          <w:rFonts w:ascii="Times New Roman Regular" w:hAnsi="Times New Roman Regular" w:eastAsia="方正仿宋_GB2312" w:cs="Times New Roman Regular"/>
          <w:color w:val="auto"/>
          <w:sz w:val="32"/>
          <w:szCs w:val="32"/>
          <w:highlight w:val="none"/>
          <w:u w:val="single"/>
        </w:rPr>
        <w:t>时</w:t>
      </w:r>
      <w:r>
        <w:rPr>
          <w:rFonts w:hint="eastAsia" w:ascii="Times New Roman Regular" w:hAnsi="Times New Roman Regular" w:eastAsia="方正仿宋_GB2312" w:cs="Times New Roman Regular"/>
          <w:color w:val="auto"/>
          <w:sz w:val="32"/>
          <w:szCs w:val="32"/>
          <w:highlight w:val="none"/>
          <w:u w:val="single"/>
          <w:lang w:val="en-US" w:eastAsia="zh-CN"/>
        </w:rPr>
        <w:t>00</w:t>
      </w:r>
      <w:r>
        <w:rPr>
          <w:rFonts w:ascii="Times New Roman Regular" w:hAnsi="Times New Roman Regular" w:eastAsia="方正仿宋_GB2312" w:cs="Times New Roman Regular"/>
          <w:color w:val="auto"/>
          <w:sz w:val="32"/>
          <w:szCs w:val="32"/>
          <w:highlight w:val="none"/>
          <w:u w:val="single"/>
        </w:rPr>
        <w:t>分</w:t>
      </w:r>
      <w:bookmarkEnd w:id="15"/>
      <w:r>
        <w:rPr>
          <w:rFonts w:ascii="Times New Roman Regular" w:hAnsi="Times New Roman Regular" w:eastAsia="方正仿宋_GB2312" w:cs="Times New Roman Regular"/>
          <w:color w:val="auto"/>
          <w:sz w:val="32"/>
          <w:szCs w:val="32"/>
          <w:highlight w:val="none"/>
          <w:u w:val="single"/>
        </w:rPr>
        <w:t>前</w:t>
      </w:r>
      <w:r>
        <w:rPr>
          <w:rFonts w:ascii="Times New Roman Regular" w:hAnsi="Times New Roman Regular" w:eastAsia="方正仿宋_GB2312" w:cs="Times New Roman Regular"/>
          <w:color w:val="auto"/>
          <w:sz w:val="32"/>
          <w:szCs w:val="32"/>
          <w:highlight w:val="none"/>
        </w:rPr>
        <w:t>，递交到</w:t>
      </w:r>
      <w:r>
        <w:rPr>
          <w:rFonts w:ascii="Times New Roman Regular" w:hAnsi="Times New Roman Regular" w:eastAsia="方正仿宋_GB2312" w:cs="Times New Roman Regular"/>
          <w:color w:val="auto"/>
          <w:sz w:val="32"/>
          <w:szCs w:val="32"/>
          <w:highlight w:val="none"/>
          <w:u w:val="single"/>
        </w:rPr>
        <w:t>（广西南宁市</w:t>
      </w:r>
      <w:r>
        <w:rPr>
          <w:rFonts w:hint="eastAsia" w:ascii="Times New Roman Regular" w:hAnsi="Times New Roman Regular" w:eastAsia="方正仿宋_GB2312" w:cs="Times New Roman Regular"/>
          <w:color w:val="auto"/>
          <w:sz w:val="32"/>
          <w:szCs w:val="32"/>
          <w:highlight w:val="none"/>
          <w:u w:val="single"/>
        </w:rPr>
        <w:t>良庆</w:t>
      </w:r>
      <w:r>
        <w:rPr>
          <w:rFonts w:ascii="Times New Roman Regular" w:hAnsi="Times New Roman Regular" w:eastAsia="方正仿宋_GB2312" w:cs="Times New Roman Regular"/>
          <w:color w:val="auto"/>
          <w:sz w:val="32"/>
          <w:szCs w:val="32"/>
          <w:highlight w:val="none"/>
          <w:u w:val="single"/>
        </w:rPr>
        <w:t>区</w:t>
      </w:r>
      <w:r>
        <w:rPr>
          <w:rFonts w:hint="eastAsia" w:ascii="Times New Roman Regular" w:hAnsi="Times New Roman Regular" w:eastAsia="方正仿宋_GB2312" w:cs="Times New Roman Regular"/>
          <w:color w:val="auto"/>
          <w:sz w:val="32"/>
          <w:szCs w:val="32"/>
          <w:highlight w:val="none"/>
          <w:u w:val="single"/>
        </w:rPr>
        <w:t>平乐</w:t>
      </w:r>
      <w:r>
        <w:rPr>
          <w:rFonts w:ascii="Times New Roman Regular" w:hAnsi="Times New Roman Regular" w:eastAsia="方正仿宋_GB2312" w:cs="Times New Roman Regular"/>
          <w:color w:val="auto"/>
          <w:sz w:val="32"/>
          <w:szCs w:val="32"/>
          <w:highlight w:val="none"/>
          <w:u w:val="single"/>
        </w:rPr>
        <w:t>大道</w:t>
      </w:r>
      <w:r>
        <w:rPr>
          <w:rFonts w:hint="eastAsia" w:ascii="Times New Roman Regular" w:hAnsi="Times New Roman Regular" w:eastAsia="方正仿宋_GB2312" w:cs="Times New Roman Regular"/>
          <w:color w:val="auto"/>
          <w:sz w:val="32"/>
          <w:szCs w:val="32"/>
          <w:highlight w:val="none"/>
          <w:u w:val="single"/>
        </w:rPr>
        <w:t>10</w:t>
      </w:r>
      <w:r>
        <w:rPr>
          <w:rFonts w:ascii="Times New Roman Regular" w:hAnsi="Times New Roman Regular" w:eastAsia="方正仿宋_GB2312" w:cs="Times New Roman Regular"/>
          <w:color w:val="auto"/>
          <w:sz w:val="32"/>
          <w:szCs w:val="32"/>
          <w:highlight w:val="none"/>
          <w:u w:val="single"/>
        </w:rPr>
        <w:t>号</w:t>
      </w:r>
      <w:r>
        <w:rPr>
          <w:rFonts w:hint="eastAsia" w:ascii="Times New Roman Regular" w:hAnsi="Times New Roman Regular" w:eastAsia="方正仿宋_GB2312" w:cs="Times New Roman Regular"/>
          <w:color w:val="auto"/>
          <w:sz w:val="32"/>
          <w:szCs w:val="32"/>
          <w:highlight w:val="none"/>
          <w:u w:val="single"/>
        </w:rPr>
        <w:t>商务街4号楼3楼302号办公室</w:t>
      </w:r>
      <w:r>
        <w:rPr>
          <w:rFonts w:ascii="Times New Roman Regular" w:hAnsi="Times New Roman Regular" w:eastAsia="方正仿宋_GB2312" w:cs="Times New Roman Regular"/>
          <w:color w:val="auto"/>
          <w:sz w:val="32"/>
          <w:szCs w:val="32"/>
          <w:highlight w:val="none"/>
          <w:u w:val="single"/>
        </w:rPr>
        <w:t>，联系电话：0771-</w:t>
      </w:r>
      <w:r>
        <w:rPr>
          <w:rFonts w:hint="eastAsia" w:ascii="Times New Roman Regular" w:hAnsi="Times New Roman Regular" w:eastAsia="方正仿宋_GB2312" w:cs="Times New Roman Regular"/>
          <w:color w:val="auto"/>
          <w:sz w:val="32"/>
          <w:szCs w:val="32"/>
          <w:highlight w:val="none"/>
          <w:u w:val="single"/>
        </w:rPr>
        <w:t>8060</w:t>
      </w:r>
      <w:r>
        <w:rPr>
          <w:rFonts w:hint="eastAsia" w:ascii="Times New Roman Regular" w:hAnsi="Times New Roman Regular" w:eastAsia="方正仿宋_GB2312" w:cs="Times New Roman Regular"/>
          <w:b w:val="0"/>
          <w:color w:val="auto"/>
          <w:sz w:val="32"/>
          <w:szCs w:val="32"/>
          <w:highlight w:val="none"/>
          <w:u w:val="single"/>
          <w:lang w:val="en-US" w:eastAsia="zh-CN"/>
        </w:rPr>
        <w:t>645</w:t>
      </w:r>
      <w:r>
        <w:rPr>
          <w:rFonts w:ascii="Times New Roman Regular" w:hAnsi="Times New Roman Regular" w:eastAsia="方正仿宋_GB2312" w:cs="Times New Roman Regular"/>
          <w:color w:val="auto"/>
          <w:sz w:val="32"/>
          <w:szCs w:val="32"/>
          <w:highlight w:val="none"/>
          <w:u w:val="single"/>
        </w:rPr>
        <w:t>）</w:t>
      </w:r>
      <w:r>
        <w:rPr>
          <w:rFonts w:ascii="Times New Roman Regular" w:hAnsi="Times New Roman Regular" w:eastAsia="方正仿宋_GB2312" w:cs="Times New Roman Regular"/>
          <w:color w:val="auto"/>
          <w:sz w:val="32"/>
          <w:szCs w:val="32"/>
          <w:highlight w:val="none"/>
        </w:rPr>
        <w:t>，逾期送达或未</w:t>
      </w:r>
      <w:r>
        <w:rPr>
          <w:rFonts w:hint="eastAsia" w:ascii="Times New Roman Regular" w:hAnsi="Times New Roman Regular" w:eastAsia="方正仿宋_GB2312" w:cs="Times New Roman Regular"/>
          <w:color w:val="auto"/>
          <w:sz w:val="32"/>
          <w:szCs w:val="32"/>
          <w:highlight w:val="none"/>
        </w:rPr>
        <w:t>有效</w:t>
      </w:r>
      <w:r>
        <w:rPr>
          <w:rFonts w:ascii="Times New Roman Regular" w:hAnsi="Times New Roman Regular" w:eastAsia="方正仿宋_GB2312" w:cs="Times New Roman Regular"/>
          <w:color w:val="auto"/>
          <w:sz w:val="32"/>
          <w:szCs w:val="32"/>
          <w:highlight w:val="none"/>
        </w:rPr>
        <w:t>密封将予以拒收。</w:t>
      </w:r>
    </w:p>
    <w:p>
      <w:pPr>
        <w:pStyle w:val="9"/>
        <w:adjustRightInd w:val="0"/>
        <w:snapToGrid w:val="0"/>
        <w:spacing w:line="600" w:lineRule="exact"/>
        <w:ind w:firstLine="641" w:firstLineChars="200"/>
        <w:rPr>
          <w:rFonts w:ascii="Times New Roman Regular" w:hAnsi="Times New Roman Regular" w:eastAsia="方正仿宋_GB2312" w:cs="Times New Roman Regular"/>
          <w:color w:val="auto"/>
          <w:sz w:val="32"/>
          <w:szCs w:val="32"/>
          <w:highlight w:val="none"/>
        </w:rPr>
      </w:pPr>
      <w:r>
        <w:rPr>
          <w:rFonts w:ascii="Times New Roman Regular" w:hAnsi="Times New Roman Regular" w:eastAsia="方正仿宋_GB2312" w:cs="Times New Roman Regular"/>
          <w:b/>
          <w:bCs/>
          <w:color w:val="auto"/>
          <w:sz w:val="32"/>
          <w:szCs w:val="32"/>
          <w:highlight w:val="none"/>
        </w:rPr>
        <w:t>七、磋商时间及地点</w:t>
      </w:r>
      <w:r>
        <w:rPr>
          <w:rFonts w:ascii="Times New Roman Regular" w:hAnsi="Times New Roman Regular" w:eastAsia="方正仿宋_GB2312" w:cs="Times New Roman Regular"/>
          <w:color w:val="auto"/>
          <w:sz w:val="32"/>
          <w:szCs w:val="32"/>
          <w:highlight w:val="none"/>
        </w:rPr>
        <w:t>：</w:t>
      </w:r>
      <w:r>
        <w:rPr>
          <w:rFonts w:ascii="Times New Roman Regular" w:hAnsi="Times New Roman Regular" w:eastAsia="方正仿宋_GB2312" w:cs="Times New Roman Regular"/>
          <w:bCs/>
          <w:color w:val="auto"/>
          <w:sz w:val="32"/>
          <w:szCs w:val="32"/>
          <w:highlight w:val="none"/>
        </w:rPr>
        <w:t>本次磋商将于</w:t>
      </w:r>
      <w:r>
        <w:rPr>
          <w:rFonts w:ascii="Times New Roman Regular" w:hAnsi="Times New Roman Regular" w:eastAsia="方正仿宋_GB2312" w:cs="Times New Roman Regular"/>
          <w:color w:val="auto"/>
          <w:sz w:val="32"/>
          <w:szCs w:val="32"/>
          <w:highlight w:val="none"/>
          <w:u w:val="single"/>
        </w:rPr>
        <w:t>202</w:t>
      </w:r>
      <w:r>
        <w:rPr>
          <w:rFonts w:hint="eastAsia" w:ascii="Times New Roman Regular" w:hAnsi="Times New Roman Regular" w:eastAsia="方正仿宋_GB2312" w:cs="Times New Roman Regular"/>
          <w:color w:val="auto"/>
          <w:sz w:val="32"/>
          <w:szCs w:val="32"/>
          <w:highlight w:val="none"/>
          <w:u w:val="single"/>
        </w:rPr>
        <w:t>6</w:t>
      </w:r>
      <w:r>
        <w:rPr>
          <w:rFonts w:ascii="Times New Roman Regular" w:hAnsi="Times New Roman Regular" w:eastAsia="方正仿宋_GB2312" w:cs="Times New Roman Regular"/>
          <w:color w:val="auto"/>
          <w:sz w:val="32"/>
          <w:szCs w:val="32"/>
          <w:highlight w:val="none"/>
          <w:u w:val="single"/>
        </w:rPr>
        <w:t>年</w:t>
      </w:r>
      <w:r>
        <w:rPr>
          <w:rFonts w:hint="eastAsia" w:ascii="Times New Roman Regular" w:hAnsi="Times New Roman Regular" w:eastAsia="方正仿宋_GB2312" w:cs="Times New Roman Regular"/>
          <w:color w:val="auto"/>
          <w:sz w:val="32"/>
          <w:szCs w:val="32"/>
          <w:highlight w:val="none"/>
          <w:u w:val="single"/>
          <w:lang w:val="en-US" w:eastAsia="zh-CN"/>
        </w:rPr>
        <w:t>8</w:t>
      </w:r>
      <w:r>
        <w:rPr>
          <w:rFonts w:ascii="Times New Roman Regular" w:hAnsi="Times New Roman Regular" w:eastAsia="方正仿宋_GB2312" w:cs="Times New Roman Regular"/>
          <w:color w:val="auto"/>
          <w:sz w:val="32"/>
          <w:szCs w:val="32"/>
          <w:highlight w:val="none"/>
          <w:u w:val="single"/>
        </w:rPr>
        <w:t>月</w:t>
      </w:r>
      <w:r>
        <w:rPr>
          <w:rFonts w:hint="eastAsia" w:ascii="Times New Roman Regular" w:hAnsi="Times New Roman Regular" w:eastAsia="方正仿宋_GB2312" w:cs="Times New Roman Regular"/>
          <w:color w:val="auto"/>
          <w:sz w:val="32"/>
          <w:szCs w:val="32"/>
          <w:highlight w:val="none"/>
          <w:u w:val="single"/>
          <w:lang w:val="en-US" w:eastAsia="zh-CN"/>
        </w:rPr>
        <w:t>31</w:t>
      </w:r>
      <w:r>
        <w:rPr>
          <w:rFonts w:ascii="Times New Roman Regular" w:hAnsi="Times New Roman Regular" w:eastAsia="方正仿宋_GB2312" w:cs="Times New Roman Regular"/>
          <w:color w:val="auto"/>
          <w:sz w:val="32"/>
          <w:szCs w:val="32"/>
          <w:highlight w:val="none"/>
          <w:u w:val="single"/>
        </w:rPr>
        <w:t>日</w:t>
      </w:r>
      <w:r>
        <w:rPr>
          <w:rFonts w:hint="eastAsia" w:ascii="Times New Roman Regular" w:hAnsi="Times New Roman Regular" w:eastAsia="方正仿宋_GB2312" w:cs="Times New Roman Regular"/>
          <w:color w:val="auto"/>
          <w:sz w:val="32"/>
          <w:szCs w:val="32"/>
          <w:highlight w:val="none"/>
          <w:u w:val="single"/>
        </w:rPr>
        <w:t>上</w:t>
      </w:r>
      <w:r>
        <w:rPr>
          <w:rFonts w:ascii="Times New Roman Regular" w:hAnsi="Times New Roman Regular" w:eastAsia="方正仿宋_GB2312" w:cs="Times New Roman Regular"/>
          <w:color w:val="auto"/>
          <w:sz w:val="32"/>
          <w:szCs w:val="32"/>
          <w:highlight w:val="none"/>
          <w:u w:val="single"/>
        </w:rPr>
        <w:t>午</w:t>
      </w:r>
      <w:r>
        <w:rPr>
          <w:rFonts w:hint="eastAsia" w:ascii="Times New Roman Regular" w:hAnsi="Times New Roman Regular" w:eastAsia="方正仿宋_GB2312" w:cs="Times New Roman Regular"/>
          <w:color w:val="auto"/>
          <w:sz w:val="32"/>
          <w:szCs w:val="32"/>
          <w:highlight w:val="none"/>
          <w:u w:val="single"/>
          <w:lang w:val="en-US" w:eastAsia="zh-CN"/>
        </w:rPr>
        <w:t>09</w:t>
      </w:r>
      <w:r>
        <w:rPr>
          <w:rFonts w:ascii="Times New Roman Regular" w:hAnsi="Times New Roman Regular" w:eastAsia="方正仿宋_GB2312" w:cs="Times New Roman Regular"/>
          <w:color w:val="auto"/>
          <w:sz w:val="32"/>
          <w:szCs w:val="32"/>
          <w:highlight w:val="none"/>
          <w:u w:val="single"/>
        </w:rPr>
        <w:t>时</w:t>
      </w:r>
      <w:r>
        <w:rPr>
          <w:rFonts w:hint="eastAsia" w:ascii="Times New Roman Regular" w:hAnsi="Times New Roman Regular" w:eastAsia="方正仿宋_GB2312" w:cs="Times New Roman Regular"/>
          <w:color w:val="auto"/>
          <w:sz w:val="32"/>
          <w:szCs w:val="32"/>
          <w:highlight w:val="none"/>
          <w:u w:val="single"/>
          <w:lang w:val="en-US" w:eastAsia="zh-CN"/>
        </w:rPr>
        <w:t>00</w:t>
      </w:r>
      <w:r>
        <w:rPr>
          <w:rFonts w:ascii="Times New Roman Regular" w:hAnsi="Times New Roman Regular" w:eastAsia="方正仿宋_GB2312" w:cs="Times New Roman Regular"/>
          <w:color w:val="auto"/>
          <w:sz w:val="32"/>
          <w:szCs w:val="32"/>
          <w:highlight w:val="none"/>
          <w:u w:val="single"/>
        </w:rPr>
        <w:t>分</w:t>
      </w:r>
      <w:r>
        <w:rPr>
          <w:rFonts w:ascii="Times New Roman Regular" w:hAnsi="Times New Roman Regular" w:eastAsia="方正仿宋_GB2312" w:cs="Times New Roman Regular"/>
          <w:color w:val="auto"/>
          <w:sz w:val="32"/>
          <w:szCs w:val="32"/>
          <w:highlight w:val="none"/>
        </w:rPr>
        <w:t>在</w:t>
      </w:r>
      <w:r>
        <w:rPr>
          <w:rFonts w:ascii="Times New Roman Regular" w:hAnsi="Times New Roman Regular" w:eastAsia="方正仿宋_GB2312" w:cs="Times New Roman Regular"/>
          <w:color w:val="auto"/>
          <w:sz w:val="32"/>
          <w:szCs w:val="32"/>
          <w:highlight w:val="none"/>
          <w:u w:val="single"/>
        </w:rPr>
        <w:t>广西南宁市</w:t>
      </w:r>
      <w:r>
        <w:rPr>
          <w:rFonts w:hint="eastAsia" w:ascii="Times New Roman Regular" w:hAnsi="Times New Roman Regular" w:eastAsia="方正仿宋_GB2312" w:cs="Times New Roman Regular"/>
          <w:color w:val="auto"/>
          <w:sz w:val="32"/>
          <w:szCs w:val="32"/>
          <w:highlight w:val="none"/>
          <w:u w:val="single"/>
        </w:rPr>
        <w:t>良庆</w:t>
      </w:r>
      <w:r>
        <w:rPr>
          <w:rFonts w:ascii="Times New Roman Regular" w:hAnsi="Times New Roman Regular" w:eastAsia="方正仿宋_GB2312" w:cs="Times New Roman Regular"/>
          <w:color w:val="auto"/>
          <w:sz w:val="32"/>
          <w:szCs w:val="32"/>
          <w:highlight w:val="none"/>
          <w:u w:val="single"/>
        </w:rPr>
        <w:t>区</w:t>
      </w:r>
      <w:r>
        <w:rPr>
          <w:rFonts w:hint="eastAsia" w:ascii="Times New Roman Regular" w:hAnsi="Times New Roman Regular" w:eastAsia="方正仿宋_GB2312" w:cs="Times New Roman Regular"/>
          <w:color w:val="auto"/>
          <w:sz w:val="32"/>
          <w:szCs w:val="32"/>
          <w:highlight w:val="none"/>
          <w:u w:val="single"/>
        </w:rPr>
        <w:t>平乐</w:t>
      </w:r>
      <w:r>
        <w:rPr>
          <w:rFonts w:ascii="Times New Roman Regular" w:hAnsi="Times New Roman Regular" w:eastAsia="方正仿宋_GB2312" w:cs="Times New Roman Regular"/>
          <w:color w:val="auto"/>
          <w:sz w:val="32"/>
          <w:szCs w:val="32"/>
          <w:highlight w:val="none"/>
          <w:u w:val="single"/>
        </w:rPr>
        <w:t>大道</w:t>
      </w:r>
      <w:r>
        <w:rPr>
          <w:rFonts w:hint="eastAsia" w:ascii="Times New Roman Regular" w:hAnsi="Times New Roman Regular" w:eastAsia="方正仿宋_GB2312" w:cs="Times New Roman Regular"/>
          <w:color w:val="auto"/>
          <w:sz w:val="32"/>
          <w:szCs w:val="32"/>
          <w:highlight w:val="none"/>
          <w:u w:val="single"/>
        </w:rPr>
        <w:t>10</w:t>
      </w:r>
      <w:r>
        <w:rPr>
          <w:rFonts w:ascii="Times New Roman Regular" w:hAnsi="Times New Roman Regular" w:eastAsia="方正仿宋_GB2312" w:cs="Times New Roman Regular"/>
          <w:color w:val="auto"/>
          <w:sz w:val="32"/>
          <w:szCs w:val="32"/>
          <w:highlight w:val="none"/>
          <w:u w:val="single"/>
        </w:rPr>
        <w:t>号</w:t>
      </w:r>
      <w:r>
        <w:rPr>
          <w:rFonts w:hint="eastAsia" w:ascii="Times New Roman Regular" w:hAnsi="Times New Roman Regular" w:eastAsia="方正仿宋_GB2312" w:cs="Times New Roman Regular"/>
          <w:color w:val="auto"/>
          <w:sz w:val="32"/>
          <w:szCs w:val="32"/>
          <w:highlight w:val="none"/>
          <w:u w:val="single"/>
        </w:rPr>
        <w:t>商务街4号楼213会议室</w:t>
      </w:r>
      <w:r>
        <w:rPr>
          <w:rFonts w:ascii="Times New Roman Regular" w:hAnsi="Times New Roman Regular" w:eastAsia="方正仿宋_GB2312" w:cs="Times New Roman Regular"/>
          <w:color w:val="auto"/>
          <w:sz w:val="32"/>
          <w:szCs w:val="32"/>
          <w:highlight w:val="none"/>
        </w:rPr>
        <w:t>进行。参加磋商的法</w:t>
      </w:r>
      <w:bookmarkStart w:id="16" w:name="OLE_LINK45"/>
      <w:bookmarkStart w:id="17" w:name="OLE_LINK44"/>
      <w:r>
        <w:rPr>
          <w:rFonts w:ascii="Times New Roman Regular" w:hAnsi="Times New Roman Regular" w:eastAsia="方正仿宋_GB2312" w:cs="Times New Roman Regular"/>
          <w:color w:val="auto"/>
          <w:sz w:val="32"/>
          <w:szCs w:val="32"/>
          <w:highlight w:val="none"/>
        </w:rPr>
        <w:t>定代表人或委托代理人必须持有效证件（法定代表人凭身份证原件或委托代理人凭</w:t>
      </w:r>
      <w:bookmarkEnd w:id="16"/>
      <w:bookmarkEnd w:id="17"/>
      <w:r>
        <w:rPr>
          <w:rFonts w:ascii="Times New Roman Regular" w:hAnsi="Times New Roman Regular" w:eastAsia="方正仿宋_GB2312" w:cs="Times New Roman Regular"/>
          <w:color w:val="auto"/>
          <w:sz w:val="32"/>
          <w:szCs w:val="32"/>
          <w:highlight w:val="none"/>
        </w:rPr>
        <w:t>法人授权委托书原件和身份证原件）依时到达指定地点等候磋商。</w:t>
      </w:r>
    </w:p>
    <w:p>
      <w:pPr>
        <w:adjustRightInd w:val="0"/>
        <w:snapToGrid w:val="0"/>
        <w:spacing w:line="600" w:lineRule="exact"/>
        <w:ind w:firstLine="641" w:firstLineChars="200"/>
        <w:rPr>
          <w:rFonts w:ascii="Times New Roman Regular" w:hAnsi="Times New Roman Regular" w:eastAsia="方正仿宋_GB2312" w:cs="Times New Roman Regular"/>
          <w:color w:val="auto"/>
          <w:sz w:val="32"/>
          <w:szCs w:val="32"/>
          <w:highlight w:val="none"/>
        </w:rPr>
      </w:pPr>
      <w:r>
        <w:rPr>
          <w:rFonts w:ascii="Times New Roman Regular" w:hAnsi="Times New Roman Regular" w:eastAsia="方正仿宋_GB2312" w:cs="Times New Roman Regular"/>
          <w:b/>
          <w:color w:val="auto"/>
          <w:sz w:val="32"/>
          <w:szCs w:val="32"/>
          <w:highlight w:val="none"/>
        </w:rPr>
        <w:t>八、公告期限</w:t>
      </w:r>
      <w:r>
        <w:rPr>
          <w:rFonts w:ascii="Times New Roman Regular" w:hAnsi="Times New Roman Regular" w:eastAsia="方正仿宋_GB2312" w:cs="Times New Roman Regular"/>
          <w:bCs/>
          <w:color w:val="auto"/>
          <w:sz w:val="32"/>
          <w:szCs w:val="32"/>
          <w:highlight w:val="none"/>
        </w:rPr>
        <w:t>：</w:t>
      </w:r>
      <w:r>
        <w:rPr>
          <w:rFonts w:ascii="Times New Roman Regular" w:hAnsi="Times New Roman Regular" w:eastAsia="方正仿宋_GB2312" w:cs="Times New Roman Regular"/>
          <w:color w:val="auto"/>
          <w:sz w:val="32"/>
          <w:szCs w:val="32"/>
          <w:highlight w:val="none"/>
        </w:rPr>
        <w:t>自本公告发布之日起3个工作日。</w:t>
      </w:r>
    </w:p>
    <w:p>
      <w:pPr>
        <w:pStyle w:val="9"/>
        <w:adjustRightInd w:val="0"/>
        <w:snapToGrid w:val="0"/>
        <w:spacing w:line="600" w:lineRule="exact"/>
        <w:ind w:firstLine="641" w:firstLineChars="200"/>
        <w:rPr>
          <w:rFonts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 xml:space="preserve">九、业务咨询: </w:t>
      </w:r>
    </w:p>
    <w:p>
      <w:pPr>
        <w:pStyle w:val="9"/>
        <w:adjustRightInd w:val="0"/>
        <w:snapToGrid w:val="0"/>
        <w:spacing w:line="600" w:lineRule="exact"/>
        <w:ind w:firstLine="640" w:firstLineChars="200"/>
        <w:rPr>
          <w:rFonts w:ascii="Times New Roman Regular" w:hAnsi="Times New Roman Regular" w:eastAsia="方正仿宋_GB2312" w:cs="Times New Roman Regular"/>
          <w:color w:val="auto"/>
          <w:sz w:val="32"/>
          <w:szCs w:val="32"/>
        </w:rPr>
      </w:pPr>
      <w:r>
        <w:rPr>
          <w:rFonts w:ascii="Times New Roman Regular" w:hAnsi="Times New Roman Regular" w:eastAsia="方正仿宋_GB2312" w:cs="Times New Roman Regular"/>
          <w:color w:val="auto"/>
          <w:sz w:val="32"/>
          <w:szCs w:val="32"/>
        </w:rPr>
        <w:t>广西东博国际</w:t>
      </w:r>
      <w:r>
        <w:rPr>
          <w:rFonts w:hint="eastAsia" w:ascii="Times New Roman Regular" w:hAnsi="Times New Roman Regular" w:eastAsia="方正仿宋_GB2312" w:cs="Times New Roman Regular"/>
          <w:color w:val="auto"/>
          <w:sz w:val="32"/>
          <w:szCs w:val="32"/>
        </w:rPr>
        <w:t>经贸投资</w:t>
      </w:r>
      <w:r>
        <w:rPr>
          <w:rFonts w:ascii="Times New Roman Regular" w:hAnsi="Times New Roman Regular" w:eastAsia="方正仿宋_GB2312" w:cs="Times New Roman Regular"/>
          <w:color w:val="auto"/>
          <w:sz w:val="32"/>
          <w:szCs w:val="32"/>
        </w:rPr>
        <w:t xml:space="preserve">有限公司 </w:t>
      </w:r>
    </w:p>
    <w:p>
      <w:pPr>
        <w:pStyle w:val="9"/>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Regular" w:hAnsi="Times New Roman Regular" w:eastAsia="方正仿宋_GB2312" w:cs="Times New Roman Regular"/>
          <w:b w:val="0"/>
          <w:color w:val="auto"/>
          <w:sz w:val="32"/>
          <w:szCs w:val="32"/>
          <w:highlight w:val="none"/>
        </w:rPr>
      </w:pPr>
      <w:r>
        <w:rPr>
          <w:rFonts w:hint="default" w:ascii="Times New Roman Regular" w:hAnsi="Times New Roman Regular" w:eastAsia="方正仿宋_GB2312" w:cs="Times New Roman Regular"/>
          <w:b w:val="0"/>
          <w:color w:val="auto"/>
          <w:sz w:val="32"/>
          <w:szCs w:val="32"/>
          <w:highlight w:val="none"/>
        </w:rPr>
        <w:t>联系人：</w:t>
      </w:r>
      <w:r>
        <w:rPr>
          <w:rFonts w:hint="eastAsia" w:ascii="Times New Roman Regular" w:hAnsi="Times New Roman Regular" w:eastAsia="方正仿宋_GB2312" w:cs="Times New Roman Regular"/>
          <w:b w:val="0"/>
          <w:color w:val="auto"/>
          <w:sz w:val="32"/>
          <w:szCs w:val="32"/>
          <w:highlight w:val="none"/>
          <w:lang w:val="en-US" w:eastAsia="zh-CN"/>
        </w:rPr>
        <w:t>颜</w:t>
      </w:r>
      <w:r>
        <w:rPr>
          <w:rFonts w:hint="default" w:ascii="Times New Roman Regular" w:hAnsi="Times New Roman Regular" w:eastAsia="方正仿宋_GB2312" w:cs="Times New Roman Regular"/>
          <w:b w:val="0"/>
          <w:color w:val="auto"/>
          <w:sz w:val="32"/>
          <w:szCs w:val="32"/>
          <w:highlight w:val="none"/>
        </w:rPr>
        <w:t xml:space="preserve">经理   </w:t>
      </w:r>
    </w:p>
    <w:p>
      <w:pPr>
        <w:pStyle w:val="9"/>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Regular" w:hAnsi="Times New Roman Regular" w:eastAsia="方正仿宋_GB2312" w:cs="Times New Roman Regular"/>
          <w:b w:val="0"/>
          <w:color w:val="auto"/>
          <w:sz w:val="32"/>
          <w:szCs w:val="32"/>
          <w:highlight w:val="none"/>
          <w:lang w:val="en-US" w:eastAsia="zh-CN"/>
        </w:rPr>
      </w:pPr>
      <w:r>
        <w:rPr>
          <w:rFonts w:hint="default" w:ascii="Times New Roman Regular" w:hAnsi="Times New Roman Regular" w:eastAsia="方正仿宋_GB2312" w:cs="Times New Roman Regular"/>
          <w:b w:val="0"/>
          <w:color w:val="auto"/>
          <w:sz w:val="32"/>
          <w:szCs w:val="32"/>
          <w:highlight w:val="none"/>
        </w:rPr>
        <w:t>联系电话：</w:t>
      </w:r>
      <w:r>
        <w:rPr>
          <w:rFonts w:hint="eastAsia" w:ascii="Times New Roman Regular" w:hAnsi="Times New Roman Regular" w:eastAsia="方正仿宋_GB2312" w:cs="Times New Roman Regular"/>
          <w:b w:val="0"/>
          <w:color w:val="auto"/>
          <w:sz w:val="32"/>
          <w:szCs w:val="32"/>
          <w:highlight w:val="none"/>
          <w:lang w:val="en-US" w:eastAsia="zh-CN"/>
        </w:rPr>
        <w:t>13407725245</w:t>
      </w:r>
    </w:p>
    <w:p>
      <w:pPr>
        <w:pStyle w:val="9"/>
        <w:adjustRightInd w:val="0"/>
        <w:snapToGrid w:val="0"/>
        <w:spacing w:line="600" w:lineRule="exact"/>
        <w:ind w:firstLine="640" w:firstLineChars="200"/>
        <w:rPr>
          <w:rFonts w:ascii="Times New Roman Regular" w:hAnsi="Times New Roman Regular" w:eastAsia="方正仿宋_GB2312" w:cs="Times New Roman Regular"/>
          <w:color w:val="auto"/>
          <w:spacing w:val="-11"/>
          <w:sz w:val="32"/>
          <w:szCs w:val="32"/>
        </w:rPr>
      </w:pPr>
      <w:r>
        <w:rPr>
          <w:rFonts w:ascii="Times New Roman Regular" w:hAnsi="Times New Roman Regular" w:eastAsia="方正仿宋_GB2312" w:cs="Times New Roman Regular"/>
          <w:color w:val="auto"/>
          <w:sz w:val="32"/>
          <w:szCs w:val="32"/>
        </w:rPr>
        <w:t>地址：</w:t>
      </w:r>
      <w:r>
        <w:rPr>
          <w:rFonts w:ascii="Times New Roman Regular" w:hAnsi="Times New Roman Regular" w:eastAsia="方正仿宋_GB2312" w:cs="Times New Roman Regular"/>
          <w:color w:val="auto"/>
          <w:sz w:val="32"/>
          <w:szCs w:val="32"/>
          <w:u w:val="single"/>
        </w:rPr>
        <w:t>广西南宁市</w:t>
      </w:r>
      <w:r>
        <w:rPr>
          <w:rFonts w:hint="eastAsia" w:ascii="Times New Roman Regular" w:hAnsi="Times New Roman Regular" w:eastAsia="方正仿宋_GB2312" w:cs="Times New Roman Regular"/>
          <w:color w:val="auto"/>
          <w:sz w:val="32"/>
          <w:szCs w:val="32"/>
          <w:u w:val="single"/>
        </w:rPr>
        <w:t>良庆</w:t>
      </w:r>
      <w:r>
        <w:rPr>
          <w:rFonts w:ascii="Times New Roman Regular" w:hAnsi="Times New Roman Regular" w:eastAsia="方正仿宋_GB2312" w:cs="Times New Roman Regular"/>
          <w:color w:val="auto"/>
          <w:sz w:val="32"/>
          <w:szCs w:val="32"/>
          <w:u w:val="single"/>
        </w:rPr>
        <w:t>区</w:t>
      </w:r>
      <w:r>
        <w:rPr>
          <w:rFonts w:hint="eastAsia" w:ascii="Times New Roman Regular" w:hAnsi="Times New Roman Regular" w:eastAsia="方正仿宋_GB2312" w:cs="Times New Roman Regular"/>
          <w:color w:val="auto"/>
          <w:sz w:val="32"/>
          <w:szCs w:val="32"/>
          <w:u w:val="single"/>
        </w:rPr>
        <w:t>平乐</w:t>
      </w:r>
      <w:r>
        <w:rPr>
          <w:rFonts w:ascii="Times New Roman Regular" w:hAnsi="Times New Roman Regular" w:eastAsia="方正仿宋_GB2312" w:cs="Times New Roman Regular"/>
          <w:color w:val="auto"/>
          <w:sz w:val="32"/>
          <w:szCs w:val="32"/>
          <w:u w:val="single"/>
        </w:rPr>
        <w:t>大道</w:t>
      </w:r>
      <w:r>
        <w:rPr>
          <w:rFonts w:hint="eastAsia" w:ascii="Times New Roman Regular" w:hAnsi="Times New Roman Regular" w:eastAsia="方正仿宋_GB2312" w:cs="Times New Roman Regular"/>
          <w:color w:val="auto"/>
          <w:sz w:val="32"/>
          <w:szCs w:val="32"/>
          <w:u w:val="single"/>
        </w:rPr>
        <w:t>10</w:t>
      </w:r>
      <w:r>
        <w:rPr>
          <w:rFonts w:ascii="Times New Roman Regular" w:hAnsi="Times New Roman Regular" w:eastAsia="方正仿宋_GB2312" w:cs="Times New Roman Regular"/>
          <w:color w:val="auto"/>
          <w:sz w:val="32"/>
          <w:szCs w:val="32"/>
          <w:u w:val="single"/>
        </w:rPr>
        <w:t>号</w:t>
      </w:r>
      <w:r>
        <w:rPr>
          <w:rFonts w:hint="eastAsia" w:ascii="Times New Roman Regular" w:hAnsi="Times New Roman Regular" w:eastAsia="方正仿宋_GB2312" w:cs="Times New Roman Regular"/>
          <w:color w:val="auto"/>
          <w:sz w:val="32"/>
          <w:szCs w:val="32"/>
          <w:u w:val="single"/>
        </w:rPr>
        <w:t>商务街4号楼3楼302号办公室</w:t>
      </w:r>
      <w:r>
        <w:rPr>
          <w:rFonts w:ascii="Times New Roman Regular" w:hAnsi="Times New Roman Regular" w:eastAsia="方正仿宋_GB2312" w:cs="Times New Roman Regular"/>
          <w:color w:val="auto"/>
          <w:sz w:val="32"/>
          <w:szCs w:val="32"/>
        </w:rPr>
        <w:t>，邮编：530</w:t>
      </w:r>
      <w:r>
        <w:rPr>
          <w:rFonts w:hint="eastAsia" w:ascii="Times New Roman Regular" w:hAnsi="Times New Roman Regular" w:eastAsia="方正仿宋_GB2312" w:cs="Times New Roman Regular"/>
          <w:color w:val="auto"/>
          <w:sz w:val="32"/>
          <w:szCs w:val="32"/>
        </w:rPr>
        <w:t>200</w:t>
      </w:r>
    </w:p>
    <w:p>
      <w:pPr>
        <w:pStyle w:val="9"/>
        <w:adjustRightInd w:val="0"/>
        <w:snapToGrid w:val="0"/>
        <w:spacing w:line="600" w:lineRule="exact"/>
        <w:ind w:firstLine="640" w:firstLineChars="200"/>
        <w:rPr>
          <w:rFonts w:ascii="Times New Roman Regular" w:hAnsi="Times New Roman Regular" w:eastAsia="方正仿宋_GB2312" w:cs="Times New Roman Regular"/>
          <w:color w:val="auto"/>
          <w:sz w:val="32"/>
          <w:szCs w:val="32"/>
        </w:rPr>
      </w:pPr>
      <w:r>
        <w:rPr>
          <w:rFonts w:ascii="Times New Roman Regular" w:hAnsi="Times New Roman Regular" w:eastAsia="方正仿宋_GB2312" w:cs="Times New Roman Regular"/>
          <w:color w:val="auto"/>
          <w:sz w:val="32"/>
          <w:szCs w:val="32"/>
        </w:rPr>
        <w:t>十、监督与投诉：</w:t>
      </w:r>
    </w:p>
    <w:p>
      <w:pPr>
        <w:pStyle w:val="9"/>
        <w:adjustRightInd w:val="0"/>
        <w:snapToGrid w:val="0"/>
        <w:spacing w:line="600" w:lineRule="exact"/>
        <w:ind w:firstLine="640" w:firstLineChars="200"/>
        <w:rPr>
          <w:rFonts w:ascii="Times New Roman Regular" w:hAnsi="Times New Roman Regular" w:eastAsia="方正仿宋_GB2312" w:cs="Times New Roman Regular"/>
          <w:color w:val="auto"/>
          <w:sz w:val="32"/>
          <w:szCs w:val="32"/>
        </w:rPr>
      </w:pPr>
      <w:r>
        <w:rPr>
          <w:rFonts w:ascii="Times New Roman Regular" w:hAnsi="Times New Roman Regular" w:eastAsia="方正仿宋_GB2312" w:cs="Times New Roman Regular"/>
          <w:color w:val="auto"/>
          <w:sz w:val="32"/>
          <w:szCs w:val="32"/>
        </w:rPr>
        <w:t>广西国际博览集团有限公司经营管理部</w:t>
      </w:r>
    </w:p>
    <w:p>
      <w:pPr>
        <w:pStyle w:val="9"/>
        <w:adjustRightInd w:val="0"/>
        <w:snapToGrid w:val="0"/>
        <w:spacing w:line="600" w:lineRule="exact"/>
        <w:ind w:firstLine="640" w:firstLineChars="200"/>
        <w:rPr>
          <w:rFonts w:ascii="Times New Roman Regular" w:hAnsi="Times New Roman Regular" w:eastAsia="方正仿宋_GB2312" w:cs="Times New Roman Regular"/>
          <w:color w:val="auto"/>
          <w:sz w:val="32"/>
          <w:szCs w:val="32"/>
        </w:rPr>
      </w:pPr>
      <w:r>
        <w:rPr>
          <w:rFonts w:ascii="Times New Roman Regular" w:hAnsi="Times New Roman Regular" w:eastAsia="方正仿宋_GB2312" w:cs="Times New Roman Regular"/>
          <w:color w:val="auto"/>
          <w:sz w:val="32"/>
          <w:szCs w:val="32"/>
        </w:rPr>
        <w:t>联系人：刘女士</w:t>
      </w:r>
    </w:p>
    <w:p>
      <w:pPr>
        <w:pStyle w:val="9"/>
        <w:adjustRightInd w:val="0"/>
        <w:snapToGrid w:val="0"/>
        <w:spacing w:line="600" w:lineRule="exact"/>
        <w:ind w:firstLine="640" w:firstLineChars="200"/>
        <w:rPr>
          <w:rFonts w:hint="default" w:ascii="Times New Roman Regular" w:hAnsi="Times New Roman Regular" w:eastAsia="方正仿宋_GB2312" w:cs="Times New Roman Regular"/>
          <w:color w:val="auto"/>
          <w:sz w:val="32"/>
          <w:szCs w:val="32"/>
          <w:woUserID w:val="1"/>
        </w:rPr>
      </w:pPr>
      <w:r>
        <w:rPr>
          <w:rFonts w:ascii="Times New Roman Regular" w:hAnsi="Times New Roman Regular" w:eastAsia="方正仿宋_GB2312" w:cs="Times New Roman Regular"/>
          <w:color w:val="auto"/>
          <w:sz w:val="32"/>
          <w:szCs w:val="32"/>
        </w:rPr>
        <w:t>联系电话：0771-22125</w:t>
      </w:r>
      <w:r>
        <w:rPr>
          <w:rFonts w:ascii="Times New Roman Regular" w:hAnsi="Times New Roman Regular" w:eastAsia="方正仿宋_GB2312" w:cs="Times New Roman Regular"/>
          <w:color w:val="auto"/>
          <w:sz w:val="32"/>
          <w:szCs w:val="32"/>
          <w:woUserID w:val="1"/>
        </w:rPr>
        <w:t>33</w:t>
      </w:r>
      <w:bookmarkStart w:id="49" w:name="_GoBack"/>
      <w:bookmarkEnd w:id="49"/>
    </w:p>
    <w:p>
      <w:pPr>
        <w:pStyle w:val="9"/>
        <w:adjustRightInd w:val="0"/>
        <w:snapToGrid w:val="0"/>
        <w:spacing w:line="600" w:lineRule="exact"/>
        <w:ind w:firstLine="641" w:firstLineChars="200"/>
        <w:rPr>
          <w:rFonts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十一、网上公告媒体查询：</w:t>
      </w:r>
    </w:p>
    <w:p>
      <w:pPr>
        <w:spacing w:line="600" w:lineRule="exact"/>
        <w:ind w:firstLine="640" w:firstLineChars="200"/>
        <w:jc w:val="center"/>
        <w:rPr>
          <w:rFonts w:eastAsia="仿宋_GB2312"/>
          <w:color w:val="auto"/>
          <w:sz w:val="32"/>
          <w:szCs w:val="32"/>
        </w:rPr>
      </w:pPr>
      <w:r>
        <w:rPr>
          <w:rFonts w:hint="eastAsia" w:ascii="方正仿宋_GB2312" w:hAnsi="方正仿宋_GB2312" w:eastAsia="方正仿宋_GB2312" w:cs="方正仿宋_GB2312"/>
          <w:color w:val="auto"/>
          <w:sz w:val="32"/>
          <w:szCs w:val="32"/>
        </w:rPr>
        <w:t>广西国际博览集团有限公司官方网站</w:t>
      </w:r>
      <w:r>
        <w:rPr>
          <w:rFonts w:eastAsia="仿宋_GB2312"/>
          <w:color w:val="auto"/>
          <w:sz w:val="32"/>
          <w:szCs w:val="32"/>
        </w:rPr>
        <w:t>（https://www.gxexpogp.cn/）</w:t>
      </w:r>
    </w:p>
    <w:p>
      <w:pPr>
        <w:pStyle w:val="3"/>
        <w:spacing w:line="600" w:lineRule="exact"/>
        <w:rPr>
          <w:rFonts w:ascii="方正仿宋_GB2312" w:hAnsi="方正仿宋_GB2312" w:eastAsia="方正仿宋_GB2312" w:cs="方正仿宋_GB2312"/>
          <w:color w:val="auto"/>
        </w:rPr>
      </w:pPr>
    </w:p>
    <w:p>
      <w:pPr>
        <w:spacing w:line="600" w:lineRule="exact"/>
        <w:ind w:firstLine="3520" w:firstLineChars="1100"/>
        <w:rPr>
          <w:rFonts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 xml:space="preserve">广西东博国际经贸投资有限公司 </w:t>
      </w:r>
    </w:p>
    <w:p>
      <w:pPr>
        <w:spacing w:line="600" w:lineRule="exact"/>
        <w:ind w:firstLine="4800" w:firstLineChars="1500"/>
        <w:rPr>
          <w:rFonts w:ascii="方正仿宋_GB2312" w:hAnsi="方正仿宋_GB2312" w:eastAsia="方正仿宋_GB2312" w:cs="方正仿宋_GB2312"/>
          <w:color w:val="auto"/>
          <w:sz w:val="32"/>
          <w:szCs w:val="32"/>
        </w:rPr>
      </w:pPr>
      <w:r>
        <w:rPr>
          <w:rFonts w:ascii="Times New Roman Regular" w:hAnsi="Times New Roman Regular" w:eastAsia="方正仿宋_GB2312" w:cs="Times New Roman Regular"/>
          <w:color w:val="auto"/>
          <w:sz w:val="32"/>
          <w:szCs w:val="32"/>
        </w:rPr>
        <w:t>202</w:t>
      </w:r>
      <w:r>
        <w:rPr>
          <w:rFonts w:hint="eastAsia" w:ascii="Times New Roman Regular" w:hAnsi="Times New Roman Regular" w:eastAsia="方正仿宋_GB2312" w:cs="Times New Roman Regular"/>
          <w:color w:val="auto"/>
          <w:sz w:val="32"/>
          <w:szCs w:val="32"/>
        </w:rPr>
        <w:t>6</w:t>
      </w:r>
      <w:r>
        <w:rPr>
          <w:rFonts w:ascii="Times New Roman Regular" w:hAnsi="Times New Roman Regular" w:eastAsia="方正仿宋_GB2312" w:cs="Times New Roman Regular"/>
          <w:color w:val="auto"/>
          <w:sz w:val="32"/>
          <w:szCs w:val="32"/>
        </w:rPr>
        <w:t>年</w:t>
      </w:r>
      <w:r>
        <w:rPr>
          <w:rFonts w:hint="eastAsia" w:ascii="Times New Roman Regular" w:hAnsi="Times New Roman Regular" w:eastAsia="方正仿宋_GB2312" w:cs="Times New Roman Regular"/>
          <w:color w:val="auto"/>
          <w:sz w:val="32"/>
          <w:szCs w:val="32"/>
          <w:lang w:val="en-US" w:eastAsia="zh-CN"/>
        </w:rPr>
        <w:t>8</w:t>
      </w:r>
      <w:r>
        <w:rPr>
          <w:rFonts w:ascii="Times New Roman Regular" w:hAnsi="Times New Roman Regular" w:eastAsia="方正仿宋_GB2312" w:cs="Times New Roman Regular"/>
          <w:color w:val="auto"/>
          <w:sz w:val="32"/>
          <w:szCs w:val="32"/>
        </w:rPr>
        <w:t>月</w:t>
      </w:r>
      <w:r>
        <w:rPr>
          <w:rFonts w:hint="eastAsia" w:ascii="Times New Roman Regular" w:hAnsi="Times New Roman Regular" w:eastAsia="方正仿宋_GB2312" w:cs="Times New Roman Regular"/>
          <w:color w:val="auto"/>
          <w:sz w:val="32"/>
          <w:szCs w:val="32"/>
          <w:lang w:val="en-US" w:eastAsia="zh-CN"/>
        </w:rPr>
        <w:t>25</w:t>
      </w:r>
      <w:r>
        <w:rPr>
          <w:rFonts w:ascii="Times New Roman Regular" w:hAnsi="Times New Roman Regular" w:eastAsia="方正仿宋_GB2312" w:cs="Times New Roman Regular"/>
          <w:color w:val="auto"/>
          <w:sz w:val="32"/>
          <w:szCs w:val="32"/>
        </w:rPr>
        <w:t>日</w:t>
      </w:r>
      <w:r>
        <w:rPr>
          <w:rFonts w:hint="eastAsia" w:ascii="方正仿宋_GB2312" w:hAnsi="方正仿宋_GB2312" w:eastAsia="方正仿宋_GB2312" w:cs="方正仿宋_GB2312"/>
          <w:color w:val="auto"/>
          <w:sz w:val="32"/>
          <w:szCs w:val="32"/>
        </w:rPr>
        <w:t xml:space="preserve">  </w:t>
      </w:r>
    </w:p>
    <w:p>
      <w:pPr>
        <w:spacing w:line="600" w:lineRule="exact"/>
        <w:rPr>
          <w:color w:val="auto"/>
        </w:rPr>
      </w:pPr>
    </w:p>
    <w:p>
      <w:pPr>
        <w:spacing w:line="400" w:lineRule="exact"/>
        <w:jc w:val="center"/>
        <w:rPr>
          <w:color w:val="auto"/>
          <w:sz w:val="32"/>
          <w:szCs w:val="32"/>
        </w:rPr>
      </w:pPr>
    </w:p>
    <w:p>
      <w:pPr>
        <w:spacing w:line="400" w:lineRule="exact"/>
        <w:jc w:val="center"/>
        <w:rPr>
          <w:color w:val="auto"/>
          <w:sz w:val="32"/>
          <w:szCs w:val="32"/>
        </w:rPr>
      </w:pPr>
    </w:p>
    <w:p>
      <w:pPr>
        <w:spacing w:line="400" w:lineRule="exact"/>
        <w:jc w:val="center"/>
        <w:rPr>
          <w:color w:val="auto"/>
          <w:sz w:val="32"/>
          <w:szCs w:val="32"/>
        </w:rPr>
      </w:pPr>
    </w:p>
    <w:p>
      <w:pPr>
        <w:spacing w:line="480" w:lineRule="auto"/>
        <w:rPr>
          <w:color w:val="auto"/>
          <w:sz w:val="44"/>
          <w:szCs w:val="20"/>
        </w:rPr>
      </w:pPr>
    </w:p>
    <w:p>
      <w:pPr>
        <w:spacing w:line="480" w:lineRule="auto"/>
        <w:rPr>
          <w:color w:val="auto"/>
          <w:sz w:val="44"/>
          <w:szCs w:val="20"/>
        </w:rPr>
      </w:pPr>
    </w:p>
    <w:p>
      <w:pPr>
        <w:spacing w:line="480" w:lineRule="auto"/>
        <w:rPr>
          <w:color w:val="auto"/>
          <w:sz w:val="44"/>
          <w:szCs w:val="20"/>
        </w:rPr>
      </w:pPr>
    </w:p>
    <w:p>
      <w:pPr>
        <w:spacing w:line="480" w:lineRule="auto"/>
        <w:rPr>
          <w:color w:val="auto"/>
          <w:sz w:val="44"/>
          <w:szCs w:val="20"/>
        </w:rPr>
      </w:pPr>
    </w:p>
    <w:p>
      <w:pPr>
        <w:spacing w:line="480" w:lineRule="auto"/>
        <w:jc w:val="center"/>
        <w:rPr>
          <w:color w:val="auto"/>
          <w:sz w:val="44"/>
          <w:szCs w:val="20"/>
        </w:rPr>
      </w:pPr>
    </w:p>
    <w:p>
      <w:pPr>
        <w:pStyle w:val="2"/>
        <w:jc w:val="both"/>
        <w:rPr>
          <w:color w:val="auto"/>
        </w:rPr>
      </w:pPr>
    </w:p>
    <w:p>
      <w:pPr>
        <w:pStyle w:val="2"/>
        <w:rPr>
          <w:color w:val="auto"/>
          <w:sz w:val="32"/>
          <w:szCs w:val="32"/>
        </w:rPr>
      </w:pPr>
      <w:bookmarkStart w:id="18" w:name="_Toc77937042"/>
      <w:r>
        <w:rPr>
          <w:color w:val="auto"/>
        </w:rPr>
        <w:t>第二章  竞标人须知</w:t>
      </w:r>
      <w:bookmarkEnd w:id="18"/>
    </w:p>
    <w:p>
      <w:pPr>
        <w:spacing w:line="400" w:lineRule="exact"/>
        <w:jc w:val="center"/>
        <w:rPr>
          <w:color w:val="auto"/>
          <w:sz w:val="32"/>
          <w:szCs w:val="32"/>
        </w:rPr>
      </w:pPr>
    </w:p>
    <w:p>
      <w:pPr>
        <w:pStyle w:val="3"/>
        <w:rPr>
          <w:color w:val="auto"/>
        </w:rPr>
      </w:pPr>
    </w:p>
    <w:p>
      <w:pPr>
        <w:rPr>
          <w:color w:val="auto"/>
        </w:rPr>
      </w:pPr>
    </w:p>
    <w:p>
      <w:pPr>
        <w:pStyle w:val="3"/>
        <w:rPr>
          <w:color w:val="auto"/>
        </w:rPr>
      </w:pPr>
    </w:p>
    <w:p>
      <w:pPr>
        <w:rPr>
          <w:color w:val="auto"/>
        </w:rPr>
      </w:pPr>
    </w:p>
    <w:p>
      <w:pPr>
        <w:pStyle w:val="3"/>
        <w:rPr>
          <w:color w:val="auto"/>
        </w:rPr>
      </w:pPr>
    </w:p>
    <w:p>
      <w:pPr>
        <w:spacing w:line="400" w:lineRule="exact"/>
        <w:jc w:val="center"/>
        <w:rPr>
          <w:b/>
          <w:bCs/>
          <w:color w:val="auto"/>
          <w:sz w:val="32"/>
          <w:szCs w:val="32"/>
        </w:rPr>
      </w:pPr>
      <w:r>
        <w:rPr>
          <w:b/>
          <w:bCs/>
          <w:color w:val="auto"/>
          <w:sz w:val="32"/>
          <w:szCs w:val="32"/>
        </w:rPr>
        <w:br w:type="page"/>
      </w:r>
    </w:p>
    <w:p>
      <w:pPr>
        <w:spacing w:line="400" w:lineRule="exact"/>
        <w:jc w:val="center"/>
        <w:rPr>
          <w:b/>
          <w:bCs/>
          <w:color w:val="auto"/>
          <w:sz w:val="32"/>
          <w:szCs w:val="32"/>
        </w:rPr>
      </w:pPr>
      <w:r>
        <w:rPr>
          <w:b/>
          <w:bCs/>
          <w:color w:val="auto"/>
          <w:sz w:val="32"/>
          <w:szCs w:val="32"/>
        </w:rPr>
        <w:t>竞标人须知前附表</w:t>
      </w:r>
    </w:p>
    <w:p>
      <w:pPr>
        <w:spacing w:line="400" w:lineRule="exact"/>
        <w:jc w:val="center"/>
        <w:rPr>
          <w:color w:val="auto"/>
          <w:sz w:val="32"/>
          <w:szCs w:val="32"/>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8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98" w:type="dxa"/>
            <w:vAlign w:val="center"/>
          </w:tcPr>
          <w:p>
            <w:pPr>
              <w:pStyle w:val="19"/>
              <w:jc w:val="center"/>
              <w:rPr>
                <w:rFonts w:hAnsi="宋体" w:cs="宋体"/>
                <w:b/>
                <w:bCs/>
                <w:color w:val="auto"/>
                <w:sz w:val="24"/>
                <w:szCs w:val="22"/>
              </w:rPr>
            </w:pPr>
            <w:r>
              <w:rPr>
                <w:rFonts w:hint="eastAsia" w:hAnsi="宋体" w:cs="宋体"/>
                <w:b/>
                <w:bCs/>
                <w:color w:val="auto"/>
                <w:sz w:val="24"/>
                <w:szCs w:val="22"/>
              </w:rPr>
              <w:t>序号</w:t>
            </w:r>
          </w:p>
        </w:tc>
        <w:tc>
          <w:tcPr>
            <w:tcW w:w="8661" w:type="dxa"/>
            <w:vAlign w:val="center"/>
          </w:tcPr>
          <w:p>
            <w:pPr>
              <w:pStyle w:val="19"/>
              <w:jc w:val="center"/>
              <w:rPr>
                <w:rFonts w:hAnsi="宋体" w:cs="宋体"/>
                <w:b/>
                <w:bCs/>
                <w:color w:val="auto"/>
                <w:sz w:val="24"/>
                <w:szCs w:val="22"/>
              </w:rPr>
            </w:pPr>
            <w:r>
              <w:rPr>
                <w:rFonts w:hint="eastAsia" w:hAnsi="宋体" w:cs="宋体"/>
                <w:b/>
                <w:bCs/>
                <w:color w:val="auto"/>
                <w:sz w:val="24"/>
                <w:szCs w:val="22"/>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898" w:type="dxa"/>
            <w:vAlign w:val="center"/>
          </w:tcPr>
          <w:p>
            <w:pPr>
              <w:pStyle w:val="19"/>
              <w:jc w:val="center"/>
              <w:rPr>
                <w:rFonts w:hAnsi="宋体" w:cs="宋体"/>
                <w:color w:val="auto"/>
                <w:sz w:val="24"/>
                <w:szCs w:val="22"/>
              </w:rPr>
            </w:pPr>
            <w:r>
              <w:rPr>
                <w:rFonts w:hint="eastAsia" w:hAnsi="宋体" w:cs="宋体"/>
                <w:color w:val="auto"/>
                <w:sz w:val="24"/>
                <w:szCs w:val="22"/>
              </w:rPr>
              <w:t>1</w:t>
            </w:r>
          </w:p>
        </w:tc>
        <w:tc>
          <w:tcPr>
            <w:tcW w:w="8661" w:type="dxa"/>
            <w:vAlign w:val="center"/>
          </w:tcPr>
          <w:p>
            <w:pPr>
              <w:pStyle w:val="9"/>
              <w:rPr>
                <w:rFonts w:hAnsi="宋体" w:cs="宋体"/>
                <w:color w:val="auto"/>
                <w:sz w:val="24"/>
                <w:szCs w:val="24"/>
              </w:rPr>
            </w:pPr>
            <w:r>
              <w:rPr>
                <w:rFonts w:hint="eastAsia" w:hAnsi="宋体" w:cs="宋体"/>
                <w:color w:val="auto"/>
                <w:sz w:val="24"/>
                <w:szCs w:val="24"/>
              </w:rPr>
              <w:t>项目名称：</w:t>
            </w:r>
            <w:bookmarkStart w:id="19" w:name="OLE_LINK6"/>
            <w:r>
              <w:rPr>
                <w:rFonts w:hint="default" w:ascii="宋体" w:hAnsi="宋体" w:eastAsia="宋体" w:cs="宋体"/>
                <w:color w:val="auto"/>
                <w:sz w:val="24"/>
                <w:szCs w:val="24"/>
                <w:highlight w:val="none"/>
                <w:lang w:val="en-US" w:eastAsia="zh-CN"/>
              </w:rPr>
              <w:t>“中国—东盟经贸通”公共服务线上平台</w:t>
            </w:r>
            <w:bookmarkEnd w:id="19"/>
            <w:r>
              <w:rPr>
                <w:rFonts w:hint="default" w:ascii="宋体" w:hAnsi="宋体" w:eastAsia="宋体" w:cs="宋体"/>
                <w:color w:val="auto"/>
                <w:sz w:val="24"/>
                <w:szCs w:val="24"/>
                <w:highlight w:val="none"/>
                <w:lang w:val="en-US" w:eastAsia="zh-CN"/>
              </w:rPr>
              <w:t>（一期）</w:t>
            </w:r>
            <w:r>
              <w:rPr>
                <w:rFonts w:hint="eastAsia" w:ascii="宋体" w:hAnsi="宋体" w:eastAsia="宋体" w:cs="宋体"/>
                <w:color w:val="auto"/>
                <w:sz w:val="24"/>
                <w:szCs w:val="24"/>
                <w:highlight w:val="none"/>
              </w:rPr>
              <w:t>建设项目</w:t>
            </w:r>
            <w:r>
              <w:rPr>
                <w:rFonts w:hint="eastAsia" w:hAnsi="宋体" w:cs="宋体"/>
                <w:color w:val="auto"/>
                <w:sz w:val="24"/>
                <w:szCs w:val="24"/>
              </w:rPr>
              <w:t>：详见本标书第三章采购项目需求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6" w:hRule="atLeast"/>
          <w:jc w:val="center"/>
        </w:trPr>
        <w:tc>
          <w:tcPr>
            <w:tcW w:w="898" w:type="dxa"/>
            <w:vAlign w:val="center"/>
          </w:tcPr>
          <w:p>
            <w:pPr>
              <w:pStyle w:val="19"/>
              <w:jc w:val="center"/>
              <w:rPr>
                <w:rFonts w:hAnsi="宋体" w:cs="宋体"/>
                <w:color w:val="auto"/>
                <w:sz w:val="24"/>
                <w:szCs w:val="22"/>
              </w:rPr>
            </w:pPr>
            <w:r>
              <w:rPr>
                <w:rFonts w:hint="eastAsia" w:hAnsi="宋体" w:cs="宋体"/>
                <w:color w:val="auto"/>
                <w:sz w:val="24"/>
                <w:szCs w:val="22"/>
              </w:rPr>
              <w:t>2</w:t>
            </w:r>
          </w:p>
        </w:tc>
        <w:tc>
          <w:tcPr>
            <w:tcW w:w="8661" w:type="dxa"/>
            <w:vAlign w:val="center"/>
          </w:tcPr>
          <w:p>
            <w:pPr>
              <w:pStyle w:val="9"/>
              <w:snapToGrid w:val="0"/>
              <w:rPr>
                <w:rFonts w:hAnsi="宋体" w:cs="宋体"/>
                <w:color w:val="auto"/>
                <w:sz w:val="24"/>
                <w:szCs w:val="22"/>
                <w:highlight w:val="none"/>
              </w:rPr>
            </w:pPr>
            <w:r>
              <w:rPr>
                <w:rFonts w:hint="eastAsia" w:hAnsi="宋体" w:cs="宋体"/>
                <w:color w:val="auto"/>
                <w:sz w:val="24"/>
                <w:szCs w:val="22"/>
                <w:highlight w:val="none"/>
              </w:rPr>
              <w:t>（一）基础条件</w:t>
            </w:r>
          </w:p>
          <w:p>
            <w:pPr>
              <w:pStyle w:val="9"/>
              <w:snapToGrid w:val="0"/>
              <w:rPr>
                <w:rFonts w:hAnsi="宋体" w:cs="宋体"/>
                <w:color w:val="auto"/>
                <w:sz w:val="24"/>
                <w:szCs w:val="22"/>
                <w:highlight w:val="none"/>
              </w:rPr>
            </w:pPr>
            <w:r>
              <w:rPr>
                <w:rFonts w:hint="eastAsia" w:hAnsi="宋体" w:cs="宋体"/>
                <w:color w:val="auto"/>
                <w:sz w:val="24"/>
                <w:szCs w:val="22"/>
                <w:highlight w:val="none"/>
              </w:rPr>
              <w:t>1.</w:t>
            </w:r>
            <w:r>
              <w:rPr>
                <w:rFonts w:hint="eastAsia" w:hAnsi="宋体" w:cs="宋体"/>
                <w:color w:val="auto"/>
                <w:sz w:val="24"/>
                <w:szCs w:val="22"/>
                <w:highlight w:val="none"/>
                <w:lang w:val="en-US" w:eastAsia="zh-CN"/>
              </w:rPr>
              <w:t>竞标</w:t>
            </w:r>
            <w:r>
              <w:rPr>
                <w:rFonts w:hint="default" w:hAnsi="宋体" w:cs="宋体"/>
                <w:color w:val="auto"/>
                <w:sz w:val="24"/>
                <w:szCs w:val="22"/>
                <w:highlight w:val="none"/>
                <w:lang w:val="en-US" w:eastAsia="zh-CN"/>
              </w:rPr>
              <w:t>人</w:t>
            </w:r>
            <w:r>
              <w:rPr>
                <w:rFonts w:hint="eastAsia" w:hAnsi="宋体" w:cs="宋体"/>
                <w:color w:val="auto"/>
                <w:sz w:val="24"/>
                <w:szCs w:val="22"/>
                <w:highlight w:val="none"/>
              </w:rPr>
              <w:t>应具备独立法人资格，营业执照经营范围包含</w:t>
            </w:r>
            <w:r>
              <w:rPr>
                <w:rFonts w:hint="eastAsia" w:asciiTheme="minorEastAsia" w:hAnsiTheme="minorEastAsia" w:eastAsiaTheme="minorEastAsia" w:cstheme="minorEastAsia"/>
                <w:color w:val="auto"/>
                <w:sz w:val="24"/>
                <w:szCs w:val="24"/>
                <w:highlight w:val="none"/>
              </w:rPr>
              <w:t>“软件开发”</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数字技术服务”</w:t>
            </w:r>
            <w:r>
              <w:rPr>
                <w:rFonts w:hint="eastAsia" w:asciiTheme="minorEastAsia" w:hAnsiTheme="minorEastAsia" w:eastAsiaTheme="minorEastAsia" w:cstheme="minorEastAsia"/>
                <w:color w:val="auto"/>
                <w:sz w:val="24"/>
                <w:szCs w:val="24"/>
                <w:highlight w:val="none"/>
              </w:rPr>
              <w:t>“技术服务”</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大数据服务</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“技术开发”</w:t>
            </w:r>
            <w:r>
              <w:rPr>
                <w:rFonts w:hint="eastAsia" w:hAnsi="宋体" w:cs="宋体"/>
                <w:color w:val="auto"/>
                <w:sz w:val="24"/>
                <w:szCs w:val="22"/>
                <w:highlight w:val="none"/>
              </w:rPr>
              <w:t>等相关类目。</w:t>
            </w:r>
          </w:p>
          <w:p>
            <w:pPr>
              <w:pStyle w:val="9"/>
              <w:snapToGrid w:val="0"/>
              <w:rPr>
                <w:rFonts w:hAnsi="宋体" w:cs="宋体"/>
                <w:color w:val="auto"/>
                <w:sz w:val="24"/>
                <w:szCs w:val="22"/>
                <w:highlight w:val="none"/>
              </w:rPr>
            </w:pPr>
            <w:r>
              <w:rPr>
                <w:rFonts w:hint="eastAsia" w:hAnsi="宋体" w:cs="宋体"/>
                <w:color w:val="auto"/>
                <w:sz w:val="24"/>
                <w:szCs w:val="22"/>
                <w:highlight w:val="none"/>
              </w:rPr>
              <w:t>2.</w:t>
            </w:r>
            <w:r>
              <w:rPr>
                <w:rFonts w:hint="eastAsia" w:hAnsi="宋体" w:cs="宋体"/>
                <w:color w:val="auto"/>
                <w:sz w:val="24"/>
                <w:szCs w:val="22"/>
                <w:highlight w:val="none"/>
                <w:lang w:val="en-US" w:eastAsia="zh-CN"/>
              </w:rPr>
              <w:t>竞标</w:t>
            </w:r>
            <w:r>
              <w:rPr>
                <w:rFonts w:hint="default" w:hAnsi="宋体" w:cs="宋体"/>
                <w:color w:val="auto"/>
                <w:sz w:val="24"/>
                <w:szCs w:val="22"/>
                <w:highlight w:val="none"/>
                <w:lang w:val="en-US" w:eastAsia="zh-CN"/>
              </w:rPr>
              <w:t>人</w:t>
            </w:r>
            <w:r>
              <w:rPr>
                <w:rFonts w:hint="eastAsia" w:hAnsi="宋体" w:cs="宋体"/>
                <w:color w:val="auto"/>
                <w:sz w:val="24"/>
                <w:szCs w:val="22"/>
                <w:highlight w:val="none"/>
              </w:rPr>
              <w:t>应守诚信、形象好、实力强、服务能力强且具备履约能力；应为未被 “信用中国” 列入 “黑名单”、未因虚假宣传、数据造假等行为被行政处罚。</w:t>
            </w:r>
          </w:p>
          <w:p>
            <w:pPr>
              <w:pStyle w:val="9"/>
              <w:snapToGrid w:val="0"/>
              <w:rPr>
                <w:rFonts w:hAnsi="宋体" w:cs="宋体"/>
                <w:color w:val="auto"/>
                <w:sz w:val="24"/>
                <w:szCs w:val="22"/>
                <w:highlight w:val="none"/>
              </w:rPr>
            </w:pPr>
            <w:r>
              <w:rPr>
                <w:rFonts w:hint="eastAsia" w:hAnsi="宋体" w:cs="宋体"/>
                <w:color w:val="auto"/>
                <w:sz w:val="24"/>
                <w:szCs w:val="22"/>
                <w:highlight w:val="none"/>
              </w:rPr>
              <w:t>3.</w:t>
            </w:r>
            <w:r>
              <w:rPr>
                <w:rFonts w:hint="eastAsia" w:hAnsi="宋体" w:cs="宋体"/>
                <w:color w:val="auto"/>
                <w:sz w:val="24"/>
                <w:szCs w:val="22"/>
                <w:highlight w:val="none"/>
                <w:lang w:val="en-US" w:eastAsia="zh-CN"/>
              </w:rPr>
              <w:t>竞标</w:t>
            </w:r>
            <w:r>
              <w:rPr>
                <w:rFonts w:hint="default" w:hAnsi="宋体" w:cs="宋体"/>
                <w:color w:val="auto"/>
                <w:sz w:val="24"/>
                <w:szCs w:val="22"/>
                <w:highlight w:val="none"/>
                <w:lang w:val="en-US" w:eastAsia="zh-CN"/>
              </w:rPr>
              <w:t>人</w:t>
            </w:r>
            <w:r>
              <w:rPr>
                <w:rFonts w:hint="eastAsia" w:hAnsi="宋体" w:cs="宋体"/>
                <w:color w:val="auto"/>
                <w:sz w:val="24"/>
                <w:szCs w:val="22"/>
                <w:highlight w:val="none"/>
              </w:rPr>
              <w:t>近三年内无违法违规记录，无重大负面舆情。</w:t>
            </w:r>
          </w:p>
          <w:p>
            <w:pPr>
              <w:pStyle w:val="9"/>
              <w:snapToGrid w:val="0"/>
              <w:rPr>
                <w:rFonts w:hAnsi="宋体" w:cs="宋体"/>
                <w:color w:val="auto"/>
                <w:sz w:val="24"/>
                <w:szCs w:val="22"/>
                <w:highlight w:val="none"/>
              </w:rPr>
            </w:pPr>
            <w:r>
              <w:rPr>
                <w:rFonts w:hint="eastAsia" w:hAnsi="宋体" w:cs="宋体"/>
                <w:color w:val="auto"/>
                <w:sz w:val="24"/>
                <w:szCs w:val="22"/>
                <w:highlight w:val="none"/>
              </w:rPr>
              <w:t>4.承诺并保证，不得透露任何经贸中心认为的保密信息，不得以任何形式关联经贸中心进行未经授权的商业宣传。</w:t>
            </w:r>
          </w:p>
          <w:p>
            <w:pPr>
              <w:pStyle w:val="9"/>
              <w:snapToGrid w:val="0"/>
              <w:rPr>
                <w:rFonts w:hAnsi="宋体" w:cs="宋体"/>
                <w:color w:val="auto"/>
                <w:sz w:val="24"/>
                <w:szCs w:val="22"/>
                <w:highlight w:val="none"/>
              </w:rPr>
            </w:pPr>
            <w:r>
              <w:rPr>
                <w:rFonts w:hint="eastAsia" w:hAnsi="宋体" w:cs="宋体"/>
                <w:color w:val="auto"/>
                <w:sz w:val="24"/>
                <w:szCs w:val="22"/>
                <w:highlight w:val="none"/>
              </w:rPr>
              <w:t>5.项目建成后，平台所有权及相关数据归属经贸中心所有，应征人不得私自留存、使用或泄露平台用户信息。</w:t>
            </w:r>
          </w:p>
          <w:p>
            <w:pPr>
              <w:pStyle w:val="9"/>
              <w:snapToGrid w:val="0"/>
              <w:rPr>
                <w:rFonts w:hAnsi="宋体" w:cs="宋体"/>
                <w:color w:val="auto"/>
                <w:sz w:val="24"/>
                <w:szCs w:val="22"/>
                <w:highlight w:val="none"/>
              </w:rPr>
            </w:pPr>
            <w:r>
              <w:rPr>
                <w:rFonts w:hint="eastAsia" w:hAnsi="宋体" w:cs="宋体"/>
                <w:color w:val="auto"/>
                <w:sz w:val="24"/>
                <w:szCs w:val="22"/>
                <w:highlight w:val="none"/>
              </w:rPr>
              <w:t>（二）团队与经验要求</w:t>
            </w:r>
          </w:p>
          <w:p>
            <w:pPr>
              <w:pStyle w:val="9"/>
              <w:snapToGrid w:val="0"/>
              <w:rPr>
                <w:rFonts w:hint="default" w:hAnsi="宋体" w:cs="宋体"/>
                <w:color w:val="auto"/>
                <w:sz w:val="24"/>
                <w:szCs w:val="22"/>
                <w:highlight w:val="none"/>
                <w:lang w:val="en-US" w:eastAsia="zh-CN"/>
              </w:rPr>
            </w:pPr>
            <w:r>
              <w:rPr>
                <w:rFonts w:hint="default" w:hAnsi="宋体" w:cs="宋体"/>
                <w:color w:val="auto"/>
                <w:sz w:val="24"/>
                <w:szCs w:val="22"/>
                <w:highlight w:val="none"/>
                <w:lang w:val="en-US" w:eastAsia="zh-CN"/>
              </w:rPr>
              <w:t>1.供应商须承诺为本项目组建具备相应资质、经验及专业能力的服务团队，团队核心成员应至少包含项目负责人（或项目经理）、技术开发负责人、运营维护负责人等关键岗位。供应商须在响应文件中提供项目团队组成方案，明确各岗位的人员配置、职责分工及专业能力说明。</w:t>
            </w:r>
          </w:p>
          <w:p>
            <w:pPr>
              <w:pStyle w:val="9"/>
              <w:snapToGrid w:val="0"/>
              <w:rPr>
                <w:rFonts w:hint="eastAsia" w:hAnsi="宋体" w:eastAsia="宋体" w:cs="宋体"/>
                <w:color w:val="auto"/>
                <w:sz w:val="24"/>
                <w:szCs w:val="22"/>
                <w:highlight w:val="none"/>
                <w:lang w:val="en-US" w:eastAsia="zh-CN"/>
              </w:rPr>
            </w:pPr>
            <w:r>
              <w:rPr>
                <w:rFonts w:hint="default" w:hAnsi="宋体" w:cs="宋体"/>
                <w:color w:val="auto"/>
                <w:sz w:val="24"/>
                <w:szCs w:val="22"/>
                <w:highlight w:val="none"/>
                <w:lang w:val="en-US" w:eastAsia="zh-CN"/>
              </w:rPr>
              <w:t>2.具有跨境经贸服务经验或相关资源者优先考虑</w:t>
            </w:r>
            <w:r>
              <w:rPr>
                <w:rFonts w:hint="eastAsia" w:hAnsi="宋体" w:cs="宋体"/>
                <w:color w:val="auto"/>
                <w:sz w:val="24"/>
                <w:szCs w:val="22"/>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898" w:type="dxa"/>
            <w:vAlign w:val="center"/>
          </w:tcPr>
          <w:p>
            <w:pPr>
              <w:pStyle w:val="19"/>
              <w:jc w:val="center"/>
              <w:rPr>
                <w:rFonts w:hAnsi="宋体" w:cs="宋体"/>
                <w:color w:val="auto"/>
                <w:sz w:val="24"/>
                <w:szCs w:val="22"/>
              </w:rPr>
            </w:pPr>
            <w:r>
              <w:rPr>
                <w:rFonts w:hint="eastAsia" w:hAnsi="宋体" w:cs="宋体"/>
                <w:color w:val="auto"/>
                <w:sz w:val="24"/>
                <w:szCs w:val="22"/>
              </w:rPr>
              <w:t>3</w:t>
            </w:r>
          </w:p>
        </w:tc>
        <w:tc>
          <w:tcPr>
            <w:tcW w:w="8661" w:type="dxa"/>
            <w:vAlign w:val="center"/>
          </w:tcPr>
          <w:p>
            <w:pPr>
              <w:widowControl/>
              <w:jc w:val="left"/>
              <w:rPr>
                <w:rFonts w:ascii="宋体" w:hAnsi="宋体" w:cs="宋体"/>
                <w:color w:val="auto"/>
                <w:sz w:val="24"/>
                <w:szCs w:val="22"/>
                <w:highlight w:val="none"/>
              </w:rPr>
            </w:pPr>
            <w:r>
              <w:rPr>
                <w:rFonts w:hint="eastAsia" w:ascii="宋体" w:hAnsi="宋体" w:cs="宋体"/>
                <w:color w:val="auto"/>
                <w:sz w:val="24"/>
                <w:szCs w:val="22"/>
                <w:highlight w:val="none"/>
              </w:rPr>
              <w:t>报价：竞标人须就《项目采购需求资料表》中所有采购服务内容作完整报价。</w:t>
            </w:r>
          </w:p>
          <w:p>
            <w:pPr>
              <w:widowControl/>
              <w:jc w:val="left"/>
              <w:rPr>
                <w:rFonts w:ascii="宋体" w:hAnsi="宋体" w:cs="宋体"/>
                <w:color w:val="auto"/>
                <w:sz w:val="24"/>
                <w:highlight w:val="none"/>
              </w:rPr>
            </w:pPr>
            <w:r>
              <w:rPr>
                <w:rFonts w:hint="eastAsia" w:ascii="宋体" w:hAnsi="宋体" w:cs="宋体"/>
                <w:color w:val="auto"/>
                <w:sz w:val="24"/>
                <w:szCs w:val="22"/>
                <w:highlight w:val="none"/>
              </w:rPr>
              <w:t>最高限价（人民币）：</w:t>
            </w:r>
            <w:r>
              <w:rPr>
                <w:rFonts w:hint="default" w:ascii="Times New Roman" w:hAnsi="Times New Roman" w:eastAsia="宋体" w:cs="Times New Roman"/>
                <w:i w:val="0"/>
                <w:iCs w:val="0"/>
                <w:caps w:val="0"/>
                <w:color w:val="auto"/>
                <w:spacing w:val="0"/>
                <w:kern w:val="2"/>
                <w:sz w:val="24"/>
                <w:szCs w:val="22"/>
                <w:highlight w:val="none"/>
                <w:shd w:val="clear" w:fill="FFFFFF"/>
                <w:lang w:val="en-US" w:eastAsia="zh-CN" w:bidi="ar-SA"/>
              </w:rPr>
              <w:t>拾玖万捌仟元（￥：198000）</w:t>
            </w:r>
            <w:r>
              <w:rPr>
                <w:rFonts w:hint="eastAsia" w:ascii="宋体" w:hAnsi="宋体" w:cs="宋体"/>
                <w:color w:val="auto"/>
                <w:sz w:val="24"/>
                <w:szCs w:val="22"/>
                <w:highlight w:val="none"/>
              </w:rPr>
              <w:t>，最后报价</w:t>
            </w:r>
            <w:r>
              <w:rPr>
                <w:rFonts w:hint="eastAsia" w:ascii="宋体" w:hAnsi="宋体" w:cs="宋体"/>
                <w:color w:val="auto"/>
                <w:sz w:val="24"/>
                <w:highlight w:val="none"/>
              </w:rPr>
              <w:t>超过限价的为无效竞标。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98" w:type="dxa"/>
            <w:vAlign w:val="center"/>
          </w:tcPr>
          <w:p>
            <w:pPr>
              <w:pStyle w:val="19"/>
              <w:jc w:val="center"/>
              <w:rPr>
                <w:rFonts w:hAnsi="宋体" w:cs="宋体"/>
                <w:color w:val="auto"/>
                <w:sz w:val="24"/>
                <w:szCs w:val="22"/>
              </w:rPr>
            </w:pPr>
            <w:r>
              <w:rPr>
                <w:rFonts w:hint="eastAsia" w:hAnsi="宋体" w:cs="宋体"/>
                <w:color w:val="auto"/>
                <w:sz w:val="24"/>
                <w:szCs w:val="22"/>
              </w:rPr>
              <w:t>4</w:t>
            </w:r>
          </w:p>
        </w:tc>
        <w:tc>
          <w:tcPr>
            <w:tcW w:w="8661" w:type="dxa"/>
            <w:vAlign w:val="center"/>
          </w:tcPr>
          <w:p>
            <w:pPr>
              <w:pStyle w:val="9"/>
              <w:rPr>
                <w:rFonts w:hAnsi="宋体" w:cs="宋体"/>
                <w:color w:val="auto"/>
                <w:sz w:val="24"/>
                <w:szCs w:val="24"/>
              </w:rPr>
            </w:pPr>
            <w:r>
              <w:rPr>
                <w:rFonts w:hint="eastAsia" w:hAnsi="宋体" w:cs="宋体"/>
                <w:color w:val="auto"/>
                <w:sz w:val="24"/>
                <w:szCs w:val="24"/>
              </w:rPr>
              <w:t>磋商响应文件：正本一份；副本叁份。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98" w:type="dxa"/>
            <w:vAlign w:val="center"/>
          </w:tcPr>
          <w:p>
            <w:pPr>
              <w:pStyle w:val="19"/>
              <w:jc w:val="center"/>
              <w:rPr>
                <w:rFonts w:hAnsi="宋体" w:cs="宋体"/>
                <w:color w:val="auto"/>
                <w:sz w:val="24"/>
                <w:szCs w:val="22"/>
              </w:rPr>
            </w:pPr>
            <w:r>
              <w:rPr>
                <w:rFonts w:hint="eastAsia" w:hAnsi="宋体" w:cs="宋体"/>
                <w:color w:val="auto"/>
                <w:sz w:val="24"/>
                <w:szCs w:val="22"/>
              </w:rPr>
              <w:t>5</w:t>
            </w:r>
          </w:p>
        </w:tc>
        <w:tc>
          <w:tcPr>
            <w:tcW w:w="8661" w:type="dxa"/>
            <w:vAlign w:val="center"/>
          </w:tcPr>
          <w:p>
            <w:pPr>
              <w:pStyle w:val="19"/>
              <w:rPr>
                <w:rFonts w:hAnsi="宋体" w:cs="宋体"/>
                <w:color w:val="auto"/>
                <w:sz w:val="24"/>
                <w:szCs w:val="22"/>
                <w:highlight w:val="none"/>
              </w:rPr>
            </w:pPr>
            <w:r>
              <w:rPr>
                <w:rFonts w:hint="eastAsia" w:hAnsi="宋体" w:cs="宋体"/>
                <w:color w:val="auto"/>
                <w:sz w:val="24"/>
                <w:szCs w:val="22"/>
                <w:highlight w:val="none"/>
              </w:rPr>
              <w:t>磋商响应文件递交截止时间：2026年</w:t>
            </w:r>
            <w:r>
              <w:rPr>
                <w:rFonts w:hint="eastAsia" w:hAnsi="宋体" w:cs="宋体"/>
                <w:color w:val="auto"/>
                <w:sz w:val="24"/>
                <w:szCs w:val="22"/>
                <w:highlight w:val="none"/>
                <w:lang w:val="en-US" w:eastAsia="zh-CN"/>
              </w:rPr>
              <w:t>8</w:t>
            </w:r>
            <w:r>
              <w:rPr>
                <w:rFonts w:hint="eastAsia" w:hAnsi="宋体" w:cs="宋体"/>
                <w:color w:val="auto"/>
                <w:sz w:val="24"/>
                <w:szCs w:val="22"/>
                <w:highlight w:val="none"/>
              </w:rPr>
              <w:t>月</w:t>
            </w:r>
            <w:r>
              <w:rPr>
                <w:rFonts w:hint="eastAsia" w:hAnsi="宋体" w:cs="宋体"/>
                <w:color w:val="auto"/>
                <w:sz w:val="24"/>
                <w:szCs w:val="22"/>
                <w:highlight w:val="none"/>
                <w:lang w:val="en-US" w:eastAsia="zh-CN"/>
              </w:rPr>
              <w:t>31</w:t>
            </w:r>
            <w:r>
              <w:rPr>
                <w:rFonts w:hint="eastAsia" w:hAnsi="宋体" w:cs="宋体"/>
                <w:color w:val="auto"/>
                <w:sz w:val="24"/>
                <w:szCs w:val="22"/>
                <w:highlight w:val="none"/>
              </w:rPr>
              <w:t>日上午</w:t>
            </w:r>
            <w:r>
              <w:rPr>
                <w:rFonts w:hint="eastAsia" w:hAnsi="宋体" w:cs="宋体"/>
                <w:color w:val="auto"/>
                <w:sz w:val="24"/>
                <w:szCs w:val="22"/>
                <w:highlight w:val="none"/>
                <w:lang w:val="en-US" w:eastAsia="zh-CN"/>
              </w:rPr>
              <w:t>09</w:t>
            </w:r>
            <w:r>
              <w:rPr>
                <w:rFonts w:hint="eastAsia" w:hAnsi="宋体" w:cs="宋体"/>
                <w:color w:val="auto"/>
                <w:sz w:val="24"/>
                <w:szCs w:val="22"/>
                <w:highlight w:val="none"/>
              </w:rPr>
              <w:t>时</w:t>
            </w:r>
            <w:r>
              <w:rPr>
                <w:rFonts w:hint="eastAsia" w:hAnsi="宋体" w:cs="宋体"/>
                <w:color w:val="auto"/>
                <w:sz w:val="24"/>
                <w:szCs w:val="22"/>
                <w:highlight w:val="none"/>
                <w:lang w:val="en-US" w:eastAsia="zh-CN"/>
              </w:rPr>
              <w:t>00</w:t>
            </w:r>
            <w:r>
              <w:rPr>
                <w:rFonts w:hint="eastAsia" w:hAnsi="宋体" w:cs="宋体"/>
                <w:color w:val="auto"/>
                <w:sz w:val="24"/>
                <w:szCs w:val="22"/>
                <w:highlight w:val="none"/>
              </w:rPr>
              <w:t>分前</w:t>
            </w:r>
          </w:p>
          <w:p>
            <w:pPr>
              <w:pStyle w:val="9"/>
              <w:rPr>
                <w:rFonts w:hAnsi="宋体" w:cs="宋体"/>
                <w:color w:val="auto"/>
                <w:sz w:val="24"/>
                <w:szCs w:val="24"/>
                <w:highlight w:val="none"/>
              </w:rPr>
            </w:pPr>
            <w:r>
              <w:rPr>
                <w:rFonts w:hint="eastAsia" w:hAnsi="宋体" w:cs="宋体"/>
                <w:color w:val="auto"/>
                <w:sz w:val="24"/>
                <w:szCs w:val="24"/>
                <w:highlight w:val="none"/>
              </w:rPr>
              <w:t>地址：广西南宁市良庆区平乐大道10号商务街4号楼302办公室</w:t>
            </w:r>
            <w:r>
              <w:rPr>
                <w:rFonts w:hint="eastAsia" w:hAnsi="宋体" w:cs="宋体"/>
                <w:color w:val="auto"/>
                <w:sz w:val="24"/>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898" w:type="dxa"/>
            <w:vAlign w:val="center"/>
          </w:tcPr>
          <w:p>
            <w:pPr>
              <w:pStyle w:val="19"/>
              <w:jc w:val="center"/>
              <w:rPr>
                <w:rFonts w:hAnsi="宋体" w:cs="宋体"/>
                <w:color w:val="auto"/>
                <w:sz w:val="24"/>
                <w:szCs w:val="22"/>
              </w:rPr>
            </w:pPr>
            <w:r>
              <w:rPr>
                <w:rFonts w:hint="eastAsia" w:hAnsi="宋体" w:cs="宋体"/>
                <w:color w:val="auto"/>
                <w:sz w:val="24"/>
                <w:szCs w:val="22"/>
              </w:rPr>
              <w:t>6</w:t>
            </w:r>
          </w:p>
        </w:tc>
        <w:tc>
          <w:tcPr>
            <w:tcW w:w="8661" w:type="dxa"/>
            <w:vAlign w:val="center"/>
          </w:tcPr>
          <w:p>
            <w:pPr>
              <w:pStyle w:val="19"/>
              <w:rPr>
                <w:rFonts w:hAnsi="宋体" w:cs="宋体"/>
                <w:color w:val="auto"/>
                <w:sz w:val="24"/>
                <w:szCs w:val="22"/>
              </w:rPr>
            </w:pPr>
            <w:r>
              <w:rPr>
                <w:rFonts w:hint="eastAsia" w:hAnsi="宋体" w:cs="宋体"/>
                <w:color w:val="auto"/>
                <w:sz w:val="24"/>
                <w:szCs w:val="22"/>
              </w:rPr>
              <w:t>磋商响应文件有效期：响应文件递交截止日期后30天。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898" w:type="dxa"/>
            <w:vAlign w:val="center"/>
          </w:tcPr>
          <w:p>
            <w:pPr>
              <w:pStyle w:val="19"/>
              <w:jc w:val="center"/>
              <w:rPr>
                <w:rFonts w:hAnsi="宋体" w:cs="宋体"/>
                <w:color w:val="auto"/>
                <w:sz w:val="24"/>
                <w:szCs w:val="22"/>
              </w:rPr>
            </w:pPr>
            <w:r>
              <w:rPr>
                <w:rFonts w:hint="eastAsia" w:hAnsi="宋体" w:cs="宋体"/>
                <w:color w:val="auto"/>
                <w:sz w:val="24"/>
                <w:szCs w:val="22"/>
              </w:rPr>
              <w:t>7</w:t>
            </w:r>
          </w:p>
        </w:tc>
        <w:tc>
          <w:tcPr>
            <w:tcW w:w="8661" w:type="dxa"/>
            <w:vAlign w:val="center"/>
          </w:tcPr>
          <w:p>
            <w:pPr>
              <w:pStyle w:val="19"/>
              <w:rPr>
                <w:rFonts w:hAnsi="宋体" w:cs="宋体"/>
                <w:color w:val="auto"/>
                <w:sz w:val="24"/>
                <w:szCs w:val="22"/>
                <w:highlight w:val="none"/>
              </w:rPr>
            </w:pPr>
            <w:r>
              <w:rPr>
                <w:rFonts w:hint="eastAsia" w:hAnsi="宋体" w:cs="宋体"/>
                <w:color w:val="auto"/>
                <w:sz w:val="24"/>
                <w:szCs w:val="22"/>
                <w:highlight w:val="none"/>
              </w:rPr>
              <w:t>磋商时间：</w:t>
            </w:r>
            <w:bookmarkStart w:id="20" w:name="OLE_LINK61"/>
            <w:bookmarkStart w:id="21" w:name="OLE_LINK62"/>
            <w:r>
              <w:rPr>
                <w:rFonts w:hint="eastAsia" w:hAnsi="宋体" w:cs="宋体"/>
                <w:color w:val="auto"/>
                <w:sz w:val="24"/>
                <w:szCs w:val="22"/>
                <w:highlight w:val="none"/>
              </w:rPr>
              <w:t>2026年</w:t>
            </w:r>
            <w:r>
              <w:rPr>
                <w:rFonts w:hint="eastAsia" w:hAnsi="宋体" w:cs="宋体"/>
                <w:color w:val="auto"/>
                <w:sz w:val="24"/>
                <w:szCs w:val="22"/>
                <w:highlight w:val="none"/>
                <w:lang w:val="en-US" w:eastAsia="zh-CN"/>
              </w:rPr>
              <w:t>8</w:t>
            </w:r>
            <w:r>
              <w:rPr>
                <w:rFonts w:hint="eastAsia" w:hAnsi="宋体" w:cs="宋体"/>
                <w:color w:val="auto"/>
                <w:sz w:val="24"/>
                <w:szCs w:val="22"/>
                <w:highlight w:val="none"/>
              </w:rPr>
              <w:t>月</w:t>
            </w:r>
            <w:r>
              <w:rPr>
                <w:rFonts w:hint="eastAsia" w:hAnsi="宋体" w:cs="宋体"/>
                <w:color w:val="auto"/>
                <w:sz w:val="24"/>
                <w:szCs w:val="22"/>
                <w:highlight w:val="none"/>
                <w:lang w:val="en-US" w:eastAsia="zh-CN"/>
              </w:rPr>
              <w:t>31</w:t>
            </w:r>
            <w:r>
              <w:rPr>
                <w:rFonts w:hint="eastAsia" w:hAnsi="宋体" w:cs="宋体"/>
                <w:color w:val="auto"/>
                <w:sz w:val="24"/>
                <w:szCs w:val="22"/>
                <w:highlight w:val="none"/>
              </w:rPr>
              <w:t>日上午</w:t>
            </w:r>
            <w:r>
              <w:rPr>
                <w:rFonts w:hint="eastAsia" w:hAnsi="宋体" w:cs="宋体"/>
                <w:color w:val="auto"/>
                <w:sz w:val="24"/>
                <w:szCs w:val="22"/>
                <w:highlight w:val="none"/>
                <w:lang w:val="en-US" w:eastAsia="zh-CN"/>
              </w:rPr>
              <w:t>09</w:t>
            </w:r>
            <w:r>
              <w:rPr>
                <w:rFonts w:hint="eastAsia" w:hAnsi="宋体" w:cs="宋体"/>
                <w:color w:val="auto"/>
                <w:sz w:val="24"/>
                <w:szCs w:val="22"/>
                <w:highlight w:val="none"/>
              </w:rPr>
              <w:t>时</w:t>
            </w:r>
            <w:r>
              <w:rPr>
                <w:rFonts w:hint="eastAsia" w:hAnsi="宋体" w:cs="宋体"/>
                <w:color w:val="auto"/>
                <w:sz w:val="24"/>
                <w:szCs w:val="22"/>
                <w:highlight w:val="none"/>
                <w:lang w:val="en-US" w:eastAsia="zh-CN"/>
              </w:rPr>
              <w:t>00</w:t>
            </w:r>
            <w:r>
              <w:rPr>
                <w:rFonts w:hint="eastAsia" w:hAnsi="宋体" w:cs="宋体"/>
                <w:color w:val="auto"/>
                <w:sz w:val="24"/>
                <w:szCs w:val="22"/>
                <w:highlight w:val="none"/>
              </w:rPr>
              <w:t>分</w:t>
            </w:r>
          </w:p>
          <w:bookmarkEnd w:id="20"/>
          <w:bookmarkEnd w:id="21"/>
          <w:p>
            <w:pPr>
              <w:pStyle w:val="19"/>
              <w:rPr>
                <w:rFonts w:hAnsi="宋体" w:cs="宋体"/>
                <w:color w:val="auto"/>
                <w:sz w:val="24"/>
                <w:szCs w:val="22"/>
                <w:highlight w:val="none"/>
              </w:rPr>
            </w:pPr>
            <w:r>
              <w:rPr>
                <w:rFonts w:hint="eastAsia" w:hAnsi="宋体" w:cs="宋体"/>
                <w:color w:val="auto"/>
                <w:sz w:val="24"/>
                <w:szCs w:val="22"/>
                <w:highlight w:val="none"/>
              </w:rPr>
              <w:t>磋商地点：广西南宁市良庆区平乐大道10号商务街4号楼213会议室</w:t>
            </w:r>
          </w:p>
        </w:tc>
      </w:tr>
    </w:tbl>
    <w:p>
      <w:pPr>
        <w:spacing w:line="400" w:lineRule="exact"/>
        <w:jc w:val="center"/>
        <w:rPr>
          <w:color w:val="auto"/>
          <w:sz w:val="32"/>
          <w:szCs w:val="32"/>
        </w:rPr>
      </w:pPr>
    </w:p>
    <w:p>
      <w:pPr>
        <w:spacing w:line="400" w:lineRule="exact"/>
        <w:rPr>
          <w:color w:val="auto"/>
          <w:sz w:val="32"/>
          <w:szCs w:val="32"/>
        </w:rPr>
      </w:pPr>
      <w:r>
        <w:rPr>
          <w:color w:val="auto"/>
          <w:sz w:val="32"/>
          <w:szCs w:val="32"/>
        </w:rPr>
        <w:br w:type="page"/>
      </w:r>
    </w:p>
    <w:p>
      <w:pPr>
        <w:spacing w:line="400" w:lineRule="exact"/>
        <w:rPr>
          <w:b/>
          <w:bCs/>
          <w:color w:val="auto"/>
          <w:sz w:val="32"/>
          <w:szCs w:val="32"/>
        </w:rPr>
      </w:pPr>
    </w:p>
    <w:p>
      <w:pPr>
        <w:spacing w:line="400" w:lineRule="exact"/>
        <w:jc w:val="center"/>
        <w:rPr>
          <w:b/>
          <w:bCs/>
          <w:color w:val="auto"/>
          <w:sz w:val="32"/>
          <w:szCs w:val="32"/>
        </w:rPr>
      </w:pPr>
      <w:r>
        <w:rPr>
          <w:b/>
          <w:bCs/>
          <w:color w:val="auto"/>
          <w:sz w:val="32"/>
          <w:szCs w:val="32"/>
        </w:rPr>
        <w:t>竞标人须知</w:t>
      </w:r>
    </w:p>
    <w:p>
      <w:pPr>
        <w:adjustRightInd w:val="0"/>
        <w:snapToGrid w:val="0"/>
        <w:spacing w:line="360" w:lineRule="auto"/>
        <w:ind w:firstLine="480" w:firstLineChars="200"/>
        <w:rPr>
          <w:rFonts w:ascii="宋体" w:hAnsi="宋体" w:cs="宋体"/>
          <w:b/>
          <w:bCs/>
          <w:color w:val="auto"/>
          <w:sz w:val="24"/>
        </w:rPr>
      </w:pPr>
      <w:r>
        <w:rPr>
          <w:rFonts w:hint="eastAsia" w:ascii="宋体" w:hAnsi="宋体" w:cs="宋体"/>
          <w:b/>
          <w:bCs/>
          <w:color w:val="auto"/>
          <w:sz w:val="24"/>
        </w:rPr>
        <w:t>一、总　则</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 适用范围</w:t>
      </w:r>
    </w:p>
    <w:p>
      <w:pPr>
        <w:keepNext w:val="0"/>
        <w:keepLines w:val="0"/>
        <w:pageBreakBefore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ascii="宋体" w:hAnsi="宋体" w:cs="宋体"/>
          <w:color w:val="auto"/>
          <w:sz w:val="24"/>
          <w:szCs w:val="32"/>
        </w:rPr>
        <w:t>1.1项目名称：</w:t>
      </w:r>
      <w:r>
        <w:rPr>
          <w:rFonts w:hint="default" w:ascii="Times New Roman" w:hAnsi="Times New Roman" w:eastAsia="宋体" w:cs="Times New Roman"/>
          <w:color w:val="auto"/>
          <w:sz w:val="24"/>
          <w:szCs w:val="24"/>
          <w:highlight w:val="none"/>
          <w:lang w:val="en-US" w:eastAsia="zh-CN"/>
        </w:rPr>
        <w:t>“中国—东盟经贸通”公共服务线上平台</w:t>
      </w:r>
      <w:r>
        <w:rPr>
          <w:rFonts w:hint="default" w:ascii="Times New Roman" w:hAnsi="Times New Roman" w:eastAsia="宋体" w:cs="Times New Roman"/>
          <w:color w:val="auto"/>
          <w:sz w:val="24"/>
          <w:szCs w:val="24"/>
          <w:highlight w:val="none"/>
          <w:shd w:val="clear"/>
          <w:lang w:eastAsia="zh-CN"/>
        </w:rPr>
        <w:t>（一期）建设项目</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本文件仅适用于本文件中所叙述的货物、服务类竞争性磋商采购项目。</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2. 定义</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2.1“采购人”是指：广西东博国际经贸投资有限公司。 </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2.2“竞标人”是指响应本文件要求，参加磋商的法人或者其他组织。如果该竞标人在本次磋商中成交,即成为“成交供应商”。</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2.3“货物”是指各种形态和种类的物品，包括原材料、燃料、设备、产品等。</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2.4“服务”是指除货物和工程以外的其他采购对象。</w:t>
      </w: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rPr>
        <w:t>2.5“竞争性磋商响应文件”是指：竞标人根据本文件要求，编制包含报价、技术和服务等</w:t>
      </w:r>
      <w:r>
        <w:rPr>
          <w:rFonts w:hint="eastAsia" w:ascii="宋体" w:hAnsi="宋体" w:cs="宋体"/>
          <w:color w:val="auto"/>
          <w:sz w:val="24"/>
          <w:highlight w:val="none"/>
        </w:rPr>
        <w:t>所有内容的文件。</w:t>
      </w: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 竞标人的基本条件</w:t>
      </w: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3.1基础条件</w:t>
      </w: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3.1.1.应征人应具备独立法人资格，营业执照经营范围包含“软件开发”“</w:t>
      </w:r>
      <w:r>
        <w:rPr>
          <w:rFonts w:hint="eastAsia" w:ascii="宋体" w:hAnsi="宋体" w:cs="宋体"/>
          <w:color w:val="auto"/>
          <w:sz w:val="24"/>
          <w:highlight w:val="none"/>
          <w:lang w:val="en-US" w:eastAsia="zh-CN"/>
        </w:rPr>
        <w:t>数字技术</w:t>
      </w:r>
      <w:r>
        <w:rPr>
          <w:rFonts w:hint="eastAsia" w:ascii="宋体" w:hAnsi="宋体" w:cs="宋体"/>
          <w:color w:val="auto"/>
          <w:sz w:val="24"/>
          <w:highlight w:val="none"/>
        </w:rPr>
        <w:t>服务”</w:t>
      </w:r>
      <w:r>
        <w:rPr>
          <w:rFonts w:hint="eastAsia" w:asciiTheme="minorEastAsia" w:hAnsiTheme="minorEastAsia" w:eastAsiaTheme="minorEastAsia" w:cstheme="minorEastAsia"/>
          <w:color w:val="auto"/>
          <w:sz w:val="24"/>
          <w:highlight w:val="none"/>
        </w:rPr>
        <w:t>“技术服务”</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大数据服务</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“技术开发”</w:t>
      </w:r>
      <w:r>
        <w:rPr>
          <w:rFonts w:hint="eastAsia" w:ascii="宋体" w:hAnsi="宋体" w:cs="宋体"/>
          <w:color w:val="auto"/>
          <w:sz w:val="24"/>
          <w:highlight w:val="none"/>
        </w:rPr>
        <w:t>等相关类目。</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highlight w:val="none"/>
        </w:rPr>
        <w:t>3.1.2.应征人应守诚信、形象好、实力强、服务能力强且具备履约</w:t>
      </w:r>
      <w:r>
        <w:rPr>
          <w:rFonts w:hint="eastAsia" w:ascii="宋体" w:hAnsi="宋体" w:cs="宋体"/>
          <w:color w:val="auto"/>
          <w:sz w:val="24"/>
        </w:rPr>
        <w:t>能力；应为未被 “信用中国” 列入 “黑名单”、未因虚假宣传、数据造假等行为被行政处罚。</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3.1.3.应征人近三年内无违法违规记录，无重大负面舆情。</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3.1.4.承诺并保证，不得透露任何经贸中心认为的保密信息，不得以任何形式关联经贸中心进行未经授权的商业宣传。</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3.1.5.项目建成后，平台所有权及相关数据归属经贸中心所有，应征人不得私自留存、使用或泄露平台用户信息。</w:t>
      </w:r>
    </w:p>
    <w:p>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3.2团队与经验要求</w:t>
      </w:r>
    </w:p>
    <w:p>
      <w:pPr>
        <w:adjustRightInd w:val="0"/>
        <w:snapToGrid w:val="0"/>
        <w:spacing w:line="360" w:lineRule="auto"/>
        <w:ind w:firstLine="480" w:firstLineChars="200"/>
        <w:rPr>
          <w:rFonts w:hint="default" w:hAnsi="宋体" w:cs="宋体"/>
          <w:color w:val="auto"/>
          <w:sz w:val="24"/>
          <w:szCs w:val="22"/>
          <w:highlight w:val="none"/>
          <w:lang w:val="en-US" w:eastAsia="zh-CN"/>
        </w:rPr>
      </w:pPr>
      <w:r>
        <w:rPr>
          <w:rFonts w:hint="eastAsia" w:ascii="宋体" w:hAnsi="宋体" w:cs="宋体"/>
          <w:color w:val="auto"/>
          <w:sz w:val="24"/>
          <w:highlight w:val="none"/>
        </w:rPr>
        <w:t>3.2.1.</w:t>
      </w:r>
      <w:r>
        <w:rPr>
          <w:rFonts w:hint="default" w:hAnsi="宋体" w:cs="宋体"/>
          <w:color w:val="auto"/>
          <w:sz w:val="24"/>
          <w:szCs w:val="22"/>
          <w:highlight w:val="none"/>
          <w:lang w:val="en-US" w:eastAsia="zh-CN"/>
        </w:rPr>
        <w:t>供应商须承诺为本项目组建具备相应资质、经验及专业能力的服务团队，团队核心成员应至少包含项目负责人（或项目经理）、技术开发负责人、运营维护负责人等关键岗位。供应商须在响应文件中提供项目团队组成方案，明确各岗位的人员配置、职责分工及专业能力说明。</w:t>
      </w:r>
    </w:p>
    <w:p>
      <w:pPr>
        <w:adjustRightInd w:val="0"/>
        <w:snapToGrid w:val="0"/>
        <w:spacing w:line="360" w:lineRule="auto"/>
        <w:ind w:firstLine="480" w:firstLineChars="200"/>
        <w:rPr>
          <w:rFonts w:hint="eastAsia" w:hAnsi="宋体" w:cs="宋体"/>
          <w:color w:val="auto"/>
          <w:sz w:val="24"/>
          <w:szCs w:val="22"/>
          <w:highlight w:val="none"/>
          <w:lang w:val="en-US" w:eastAsia="zh-CN"/>
        </w:rPr>
      </w:pPr>
      <w:r>
        <w:rPr>
          <w:rFonts w:hint="eastAsia" w:ascii="宋体" w:hAnsi="宋体" w:cs="宋体"/>
          <w:color w:val="auto"/>
          <w:sz w:val="24"/>
          <w:highlight w:val="none"/>
        </w:rPr>
        <w:t>3.2.2.</w:t>
      </w:r>
      <w:r>
        <w:rPr>
          <w:rFonts w:hint="default" w:hAnsi="宋体" w:cs="宋体"/>
          <w:color w:val="auto"/>
          <w:sz w:val="24"/>
          <w:szCs w:val="22"/>
          <w:highlight w:val="none"/>
          <w:lang w:val="en-US" w:eastAsia="zh-CN"/>
        </w:rPr>
        <w:t>具有跨境经贸服务经验或相关资源者优先考虑</w:t>
      </w:r>
      <w:r>
        <w:rPr>
          <w:rFonts w:hint="eastAsia" w:hAnsi="宋体" w:cs="宋体"/>
          <w:color w:val="auto"/>
          <w:sz w:val="24"/>
          <w:szCs w:val="22"/>
          <w:highlight w:val="none"/>
          <w:lang w:val="en-US" w:eastAsia="zh-CN"/>
        </w:rPr>
        <w:t>。</w:t>
      </w:r>
    </w:p>
    <w:p>
      <w:pPr>
        <w:adjustRightInd w:val="0"/>
        <w:snapToGrid w:val="0"/>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竞标人资格条件详见“竞标人须知前附表”。</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4. 竞争性磋商公告、磋商文件的修改</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rPr>
        <w:t>4.1竞争性磋商公告发布媒体：广西国际博览集团有限公司官方网站https://www.gxexpogp.cn/</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bCs/>
          <w:color w:val="auto"/>
          <w:sz w:val="24"/>
        </w:rPr>
        <w:t>4.2竞争性</w:t>
      </w:r>
      <w:r>
        <w:rPr>
          <w:rFonts w:hint="eastAsia" w:ascii="宋体" w:hAnsi="宋体" w:cs="宋体"/>
          <w:color w:val="auto"/>
          <w:sz w:val="24"/>
        </w:rPr>
        <w:t>磋商采购文件的澄清和修改：</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rPr>
        <w:t>4.2.1</w:t>
      </w:r>
      <w:r>
        <w:rPr>
          <w:rFonts w:hint="eastAsia" w:hAnsi="宋体" w:cs="宋体"/>
          <w:bCs/>
          <w:color w:val="auto"/>
          <w:sz w:val="24"/>
          <w:szCs w:val="24"/>
        </w:rPr>
        <w:t>竞标人应认真审核《</w:t>
      </w:r>
      <w:bookmarkStart w:id="22" w:name="_Hlk77955883"/>
      <w:r>
        <w:rPr>
          <w:rFonts w:hint="eastAsia" w:hAnsi="宋体" w:cs="宋体"/>
          <w:bCs/>
          <w:color w:val="auto"/>
          <w:sz w:val="24"/>
          <w:szCs w:val="24"/>
        </w:rPr>
        <w:t>采购项目需求</w:t>
      </w:r>
      <w:bookmarkEnd w:id="22"/>
      <w:r>
        <w:rPr>
          <w:rFonts w:hint="eastAsia" w:hAnsi="宋体" w:cs="宋体"/>
          <w:bCs/>
          <w:color w:val="auto"/>
          <w:sz w:val="24"/>
          <w:szCs w:val="24"/>
        </w:rPr>
        <w:t>》中的技术参数、配置及要求，如发现表中技术参数、配置有误或要求不合理的，竞标人必须在规定的时间前要求澄清，否则，由此产生的后果由竞标人负责。</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rPr>
        <w:t>4.2.2任何要求澄清采购文件的竞标人，均应在</w:t>
      </w:r>
      <w:r>
        <w:rPr>
          <w:rFonts w:hint="eastAsia" w:hAnsi="宋体" w:cs="宋体"/>
          <w:bCs/>
          <w:color w:val="auto"/>
          <w:sz w:val="24"/>
          <w:szCs w:val="24"/>
        </w:rPr>
        <w:t>竞标文件提交截止两日前的正常</w:t>
      </w:r>
      <w:r>
        <w:rPr>
          <w:rFonts w:hint="eastAsia" w:hAnsi="宋体" w:cs="宋体"/>
          <w:color w:val="auto"/>
          <w:sz w:val="24"/>
          <w:szCs w:val="24"/>
        </w:rPr>
        <w:t>工作时间以书面形式通知采购人，同时认定其他澄清方式为无效，采购人将予以答复。</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4.2.3采购人可视具体情况，延长竞标截止时间和开标时间。采购人至少在磋商文件要求提交响应文件的截止时间前，将变更时间通知所有磋商文件收受人，并在</w:t>
      </w:r>
      <w:r>
        <w:rPr>
          <w:rFonts w:hint="eastAsia" w:ascii="宋体" w:hAnsi="宋体" w:cs="宋体"/>
          <w:color w:val="auto"/>
          <w:sz w:val="24"/>
          <w:szCs w:val="32"/>
        </w:rPr>
        <w:t>广西国际博览集团有限公司官方网站</w:t>
      </w:r>
      <w:r>
        <w:rPr>
          <w:rFonts w:hint="eastAsia" w:ascii="宋体" w:hAnsi="宋体" w:cs="宋体"/>
          <w:color w:val="auto"/>
          <w:sz w:val="24"/>
        </w:rPr>
        <w:t>https://www.gxexpogp.cn/上发布变更公告。</w:t>
      </w:r>
    </w:p>
    <w:p>
      <w:pPr>
        <w:adjustRightInd w:val="0"/>
        <w:snapToGrid w:val="0"/>
        <w:spacing w:line="360" w:lineRule="auto"/>
        <w:ind w:firstLine="480" w:firstLineChars="200"/>
        <w:rPr>
          <w:rFonts w:ascii="宋体" w:hAnsi="宋体" w:cs="宋体"/>
          <w:b/>
          <w:bCs/>
          <w:color w:val="auto"/>
          <w:sz w:val="24"/>
        </w:rPr>
      </w:pPr>
      <w:r>
        <w:rPr>
          <w:rFonts w:hint="eastAsia" w:ascii="宋体" w:hAnsi="宋体" w:cs="宋体"/>
          <w:b/>
          <w:bCs/>
          <w:color w:val="auto"/>
          <w:sz w:val="24"/>
        </w:rPr>
        <w:t>二、竞争性磋商响应文件的编制</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 竞争性磋商响应文件编制基本要求</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5.1竞标人必须按照竞争性磋商文件要求编制响应文件，并对其提交响应文件的真实性、合法性承担法律责任。响应文件必须对竞争性磋商文件作出实质性响应，按要求装订和封装。</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5.2竞标人提交的竞争性磋商响应文件以及竞标人与采购人就有关磋商的所有来往函电均应使用中文。竞标人提交的支持文件和印刷的文献可以使用别的语言，但其相应内容必须附有中文翻译文本，在解释竞争性磋商响应文件时以翻译文本为主。</w:t>
      </w:r>
    </w:p>
    <w:p>
      <w:pPr>
        <w:pStyle w:val="9"/>
        <w:adjustRightInd w:val="0"/>
        <w:snapToGrid w:val="0"/>
        <w:spacing w:line="360" w:lineRule="auto"/>
        <w:ind w:firstLine="480" w:firstLineChars="200"/>
        <w:rPr>
          <w:rFonts w:hAnsi="宋体" w:cs="宋体"/>
          <w:color w:val="auto"/>
          <w:sz w:val="24"/>
          <w:szCs w:val="24"/>
          <w:u w:val="single"/>
        </w:rPr>
      </w:pPr>
      <w:r>
        <w:rPr>
          <w:rFonts w:hint="eastAsia" w:hAnsi="宋体" w:cs="宋体"/>
          <w:color w:val="auto"/>
          <w:sz w:val="24"/>
          <w:szCs w:val="24"/>
        </w:rPr>
        <w:t>5.3竞标人应认真阅读、并充分理解本文件的全部内容（包括所有的补充、修改内容），承诺并履行本文件中各项条款规定及要求。</w:t>
      </w:r>
      <w:r>
        <w:rPr>
          <w:rFonts w:hint="eastAsia" w:hAnsi="宋体" w:cs="宋体"/>
          <w:color w:val="auto"/>
          <w:sz w:val="24"/>
          <w:szCs w:val="24"/>
          <w:u w:val="single"/>
        </w:rPr>
        <w:t>对竞争性磋商文件的实质性要求和条件作出响应是指竞标人必须对竞争性磋</w:t>
      </w:r>
      <w:r>
        <w:rPr>
          <w:rFonts w:hAnsi="宋体" w:cs="宋体"/>
          <w:color w:val="auto"/>
          <w:sz w:val="24"/>
          <w:szCs w:val="24"/>
          <w:u w:val="single"/>
        </w:rPr>
        <w:t>商</w:t>
      </w:r>
      <w:r>
        <w:rPr>
          <w:rFonts w:hint="eastAsia" w:hAnsi="宋体" w:cs="宋体"/>
          <w:color w:val="auto"/>
          <w:sz w:val="24"/>
          <w:szCs w:val="24"/>
          <w:u w:val="single"/>
        </w:rPr>
        <w:t>必须满足的技术参数要求、商务条款及其他内容等实质性要求和条件</w:t>
      </w:r>
      <w:r>
        <w:rPr>
          <w:rFonts w:hint="eastAsia" w:hAnsi="宋体" w:cs="宋体"/>
          <w:b/>
          <w:color w:val="auto"/>
          <w:sz w:val="24"/>
          <w:szCs w:val="24"/>
          <w:u w:val="single"/>
        </w:rPr>
        <w:t>作出满足或者优于原要求和条件的承诺</w:t>
      </w:r>
      <w:r>
        <w:rPr>
          <w:rFonts w:hint="eastAsia" w:hAnsi="宋体" w:cs="宋体"/>
          <w:color w:val="auto"/>
          <w:sz w:val="24"/>
          <w:szCs w:val="24"/>
        </w:rPr>
        <w:t>。</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5.4竞争性磋商响应文件必须按本文件的全部内容，包括所有的补充通知及附件进行编制。</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5.5如因竞标人只填写和提供了本文件要求的部分内容和附件，而给评审造成困难，其可能导致的结果和责任由竞标人自行承担。</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5.6竞争性磋商响应文件由价格文件和商务技术文件两个部分组成。</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5.6.1价格文件</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b/>
          <w:color w:val="auto"/>
          <w:sz w:val="24"/>
        </w:rPr>
        <w:t>报价表</w:t>
      </w:r>
      <w:r>
        <w:rPr>
          <w:rFonts w:hint="eastAsia" w:ascii="宋体" w:hAnsi="宋体" w:cs="宋体"/>
          <w:color w:val="auto"/>
          <w:sz w:val="24"/>
        </w:rPr>
        <w:t>；（附件二）</w:t>
      </w:r>
      <w:r>
        <w:rPr>
          <w:rFonts w:hint="eastAsia" w:ascii="宋体" w:hAnsi="宋体" w:cs="宋体"/>
          <w:b/>
          <w:color w:val="auto"/>
          <w:sz w:val="24"/>
        </w:rPr>
        <w:t>（必须提供，同时</w:t>
      </w:r>
      <w:r>
        <w:rPr>
          <w:rFonts w:hint="eastAsia" w:ascii="宋体" w:hAnsi="宋体" w:cs="宋体"/>
          <w:b/>
          <w:bCs/>
          <w:color w:val="auto"/>
          <w:sz w:val="24"/>
        </w:rPr>
        <w:t>由法定代表人或委托代理人签名并加盖单位公章，</w:t>
      </w:r>
      <w:r>
        <w:rPr>
          <w:rFonts w:hint="eastAsia" w:ascii="宋体" w:hAnsi="宋体" w:cs="宋体"/>
          <w:b/>
          <w:color w:val="auto"/>
          <w:sz w:val="24"/>
        </w:rPr>
        <w:t>否则磋商响应无效）</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5.6.2 商务技术文件（应该有的必须提供,如未提供,磋商小组有权拒绝其竞争性磋商响应文件） </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b/>
          <w:color w:val="auto"/>
          <w:sz w:val="24"/>
        </w:rPr>
        <w:t>磋商函</w:t>
      </w:r>
      <w:r>
        <w:rPr>
          <w:rFonts w:hint="eastAsia" w:ascii="宋体" w:hAnsi="宋体" w:cs="宋体"/>
          <w:color w:val="auto"/>
          <w:sz w:val="24"/>
        </w:rPr>
        <w:t>；（附件一）</w:t>
      </w:r>
      <w:r>
        <w:rPr>
          <w:rFonts w:hint="eastAsia" w:ascii="宋体" w:hAnsi="宋体" w:cs="宋体"/>
          <w:b/>
          <w:color w:val="auto"/>
          <w:sz w:val="24"/>
        </w:rPr>
        <w:t>（必须提供，同时</w:t>
      </w:r>
      <w:r>
        <w:rPr>
          <w:rFonts w:hint="eastAsia" w:ascii="宋体" w:hAnsi="宋体" w:cs="宋体"/>
          <w:b/>
          <w:bCs/>
          <w:color w:val="auto"/>
          <w:sz w:val="24"/>
        </w:rPr>
        <w:t>由法定代表人或委托代理人签名并加盖单位公章，</w:t>
      </w:r>
      <w:r>
        <w:rPr>
          <w:rFonts w:hint="eastAsia" w:ascii="宋体" w:hAnsi="宋体" w:cs="宋体"/>
          <w:b/>
          <w:color w:val="auto"/>
          <w:sz w:val="24"/>
        </w:rPr>
        <w:t>否则磋商响应无效）</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2）</w:t>
      </w:r>
      <w:bookmarkStart w:id="23" w:name="_Hlk77953113"/>
      <w:r>
        <w:rPr>
          <w:rFonts w:hint="eastAsia" w:ascii="宋体" w:hAnsi="宋体" w:cs="宋体"/>
          <w:b/>
          <w:bCs/>
          <w:color w:val="auto"/>
          <w:sz w:val="24"/>
        </w:rPr>
        <w:t>项目建设方案（</w:t>
      </w:r>
      <w:r>
        <w:rPr>
          <w:rFonts w:hint="eastAsia" w:ascii="宋体" w:hAnsi="宋体" w:cs="宋体"/>
          <w:b/>
          <w:color w:val="auto"/>
          <w:sz w:val="24"/>
        </w:rPr>
        <w:t>根据竞争性磋商采购文件中的要求或评分细则内容要求提供）</w:t>
      </w:r>
      <w:bookmarkEnd w:id="23"/>
      <w:r>
        <w:rPr>
          <w:rFonts w:hint="eastAsia" w:ascii="宋体" w:hAnsi="宋体" w:cs="宋体"/>
          <w:color w:val="auto"/>
          <w:sz w:val="24"/>
        </w:rPr>
        <w:t>（附件三）；</w:t>
      </w:r>
      <w:r>
        <w:rPr>
          <w:rFonts w:hint="eastAsia" w:ascii="宋体" w:hAnsi="宋体" w:cs="宋体"/>
          <w:b/>
          <w:color w:val="auto"/>
          <w:sz w:val="24"/>
        </w:rPr>
        <w:t>（必须提供，同时</w:t>
      </w:r>
      <w:r>
        <w:rPr>
          <w:rFonts w:hint="eastAsia" w:ascii="宋体" w:hAnsi="宋体" w:cs="宋体"/>
          <w:b/>
          <w:bCs/>
          <w:color w:val="auto"/>
          <w:sz w:val="24"/>
        </w:rPr>
        <w:t>由法定代表人或委托代理人签名并加盖单位公章，</w:t>
      </w:r>
      <w:r>
        <w:rPr>
          <w:rFonts w:hint="eastAsia" w:ascii="宋体" w:hAnsi="宋体" w:cs="宋体"/>
          <w:b/>
          <w:color w:val="auto"/>
          <w:sz w:val="24"/>
        </w:rPr>
        <w:t>否则磋商响应无效）</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w:t>
      </w:r>
      <w:r>
        <w:rPr>
          <w:rFonts w:hint="eastAsia" w:ascii="宋体" w:hAnsi="宋体" w:cs="宋体"/>
          <w:bCs/>
          <w:color w:val="auto"/>
          <w:sz w:val="24"/>
        </w:rPr>
        <w:t>）</w:t>
      </w:r>
      <w:bookmarkStart w:id="24" w:name="OLE_LINK67"/>
      <w:r>
        <w:rPr>
          <w:rFonts w:hint="eastAsia" w:ascii="宋体" w:hAnsi="宋体" w:cs="宋体"/>
          <w:b/>
          <w:color w:val="auto"/>
          <w:sz w:val="24"/>
        </w:rPr>
        <w:t>商务、技术响应、偏离情况说明表</w:t>
      </w:r>
      <w:r>
        <w:rPr>
          <w:rFonts w:hint="eastAsia" w:ascii="宋体" w:hAnsi="宋体" w:cs="宋体"/>
          <w:color w:val="auto"/>
          <w:sz w:val="24"/>
        </w:rPr>
        <w:t>（附件四）；</w:t>
      </w:r>
      <w:r>
        <w:rPr>
          <w:rFonts w:hint="eastAsia" w:ascii="宋体" w:hAnsi="宋体" w:cs="宋体"/>
          <w:b/>
          <w:color w:val="auto"/>
          <w:sz w:val="24"/>
        </w:rPr>
        <w:t>（必须提供，同时</w:t>
      </w:r>
      <w:r>
        <w:rPr>
          <w:rFonts w:hint="eastAsia" w:ascii="宋体" w:hAnsi="宋体" w:cs="宋体"/>
          <w:b/>
          <w:bCs/>
          <w:color w:val="auto"/>
          <w:sz w:val="24"/>
        </w:rPr>
        <w:t>由法定代表人或委托代理人签名并加盖单位公章，</w:t>
      </w:r>
      <w:r>
        <w:rPr>
          <w:rFonts w:hint="eastAsia" w:ascii="宋体" w:hAnsi="宋体" w:cs="宋体"/>
          <w:b/>
          <w:color w:val="auto"/>
          <w:sz w:val="24"/>
        </w:rPr>
        <w:t>否则磋商响应无效）</w:t>
      </w:r>
      <w:bookmarkEnd w:id="24"/>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4）</w:t>
      </w:r>
      <w:r>
        <w:rPr>
          <w:rFonts w:hint="eastAsia" w:ascii="宋体" w:hAnsi="宋体" w:cs="宋体"/>
          <w:b/>
          <w:color w:val="auto"/>
          <w:sz w:val="24"/>
        </w:rPr>
        <w:t>法定代表人授权书原件及委托代理人身份证复印件（委托代理时必须提供；法人亲自参加时请提供法人身份证）</w:t>
      </w:r>
      <w:r>
        <w:rPr>
          <w:rFonts w:hint="eastAsia" w:ascii="宋体" w:hAnsi="宋体" w:cs="宋体"/>
          <w:color w:val="auto"/>
          <w:sz w:val="24"/>
        </w:rPr>
        <w:t xml:space="preserve">（附件五）； </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5）竞标人有效的“营业执照副本”复印件（加盖单位公章）；</w:t>
      </w:r>
      <w:r>
        <w:rPr>
          <w:rFonts w:hint="eastAsia" w:ascii="宋体" w:hAnsi="宋体" w:cs="宋体"/>
          <w:b/>
          <w:color w:val="auto"/>
          <w:sz w:val="24"/>
        </w:rPr>
        <w:t>（必须提供）</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szCs w:val="32"/>
        </w:rPr>
        <w:t>6）</w:t>
      </w:r>
      <w:r>
        <w:rPr>
          <w:rFonts w:hint="eastAsia" w:ascii="宋体" w:hAnsi="宋体" w:cs="宋体"/>
          <w:color w:val="auto"/>
          <w:sz w:val="24"/>
        </w:rPr>
        <w:t>其他特殊资质证明</w:t>
      </w:r>
      <w:r>
        <w:rPr>
          <w:rFonts w:hint="eastAsia" w:ascii="宋体" w:hAnsi="宋体" w:cs="宋体"/>
          <w:color w:val="auto"/>
          <w:sz w:val="24"/>
          <w:szCs w:val="32"/>
        </w:rPr>
        <w:t>（如有）</w:t>
      </w:r>
      <w:r>
        <w:rPr>
          <w:rFonts w:hint="eastAsia" w:ascii="宋体" w:hAnsi="宋体" w:cs="宋体"/>
          <w:color w:val="auto"/>
          <w:sz w:val="24"/>
        </w:rPr>
        <w:t>；</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szCs w:val="32"/>
        </w:rPr>
        <w:t>7）</w:t>
      </w:r>
      <w:r>
        <w:rPr>
          <w:rFonts w:hint="eastAsia" w:ascii="宋体" w:hAnsi="宋体" w:cs="宋体"/>
          <w:color w:val="auto"/>
          <w:sz w:val="24"/>
        </w:rPr>
        <w:t>竞标人认为可以证明其能力或业绩的其他材料</w:t>
      </w:r>
      <w:r>
        <w:rPr>
          <w:rFonts w:hint="eastAsia" w:ascii="宋体" w:hAnsi="宋体" w:cs="宋体"/>
          <w:color w:val="auto"/>
          <w:sz w:val="24"/>
          <w:szCs w:val="32"/>
        </w:rPr>
        <w:t>（如有）</w:t>
      </w:r>
      <w:r>
        <w:rPr>
          <w:rFonts w:hint="eastAsia" w:ascii="宋体" w:hAnsi="宋体" w:cs="宋体"/>
          <w:color w:val="auto"/>
          <w:sz w:val="24"/>
        </w:rPr>
        <w:t>；</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b/>
          <w:bCs/>
          <w:color w:val="auto"/>
          <w:sz w:val="24"/>
          <w:lang w:val="en-US" w:eastAsia="zh-CN"/>
        </w:rPr>
        <w:t>8</w:t>
      </w:r>
      <w:r>
        <w:rPr>
          <w:rFonts w:hint="eastAsia" w:ascii="宋体" w:hAnsi="宋体" w:cs="宋体"/>
          <w:b/>
          <w:bCs/>
          <w:color w:val="auto"/>
          <w:sz w:val="24"/>
        </w:rPr>
        <w:t>）项目实施人员一览表（必须按照要求提供材料）</w:t>
      </w:r>
    </w:p>
    <w:p>
      <w:pPr>
        <w:adjustRightInd w:val="0"/>
        <w:snapToGrid w:val="0"/>
        <w:spacing w:line="360" w:lineRule="auto"/>
        <w:ind w:firstLine="480" w:firstLineChars="200"/>
        <w:rPr>
          <w:rFonts w:ascii="宋体" w:hAnsi="宋体" w:cs="宋体"/>
          <w:color w:val="auto"/>
          <w:sz w:val="24"/>
          <w:szCs w:val="32"/>
        </w:rPr>
      </w:pPr>
      <w:r>
        <w:rPr>
          <w:rFonts w:hint="eastAsia" w:ascii="宋体" w:hAnsi="宋体" w:cs="宋体"/>
          <w:color w:val="auto"/>
          <w:sz w:val="24"/>
          <w:szCs w:val="32"/>
          <w:lang w:val="en-US" w:eastAsia="zh-CN"/>
        </w:rPr>
        <w:t>9</w:t>
      </w:r>
      <w:r>
        <w:rPr>
          <w:rFonts w:hint="eastAsia" w:ascii="宋体" w:hAnsi="宋体" w:cs="宋体"/>
          <w:color w:val="auto"/>
          <w:sz w:val="24"/>
          <w:szCs w:val="32"/>
        </w:rPr>
        <w:t>）竞标人对本项目的合理化建议和改进措施（如有）；</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10</w:t>
      </w:r>
      <w:r>
        <w:rPr>
          <w:rFonts w:hint="eastAsia" w:ascii="宋体" w:hAnsi="宋体" w:cs="宋体"/>
          <w:color w:val="auto"/>
          <w:sz w:val="24"/>
        </w:rPr>
        <w:t>）本竞争性磋商文件要求提供的其他资料和需要说明的问题</w:t>
      </w:r>
      <w:r>
        <w:rPr>
          <w:rFonts w:hint="eastAsia" w:ascii="宋体" w:hAnsi="宋体" w:cs="宋体"/>
          <w:color w:val="auto"/>
          <w:sz w:val="24"/>
          <w:szCs w:val="32"/>
        </w:rPr>
        <w:t>（如有）</w:t>
      </w:r>
      <w:r>
        <w:rPr>
          <w:rFonts w:hint="eastAsia" w:ascii="宋体" w:hAnsi="宋体" w:cs="宋体"/>
          <w:color w:val="auto"/>
          <w:sz w:val="24"/>
        </w:rPr>
        <w:t>。</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6. 计量单位</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6.1除技术要求中另有规定外，本文件所要求使用的计量单位均应采用国家法定计量单位。</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b/>
          <w:bCs/>
          <w:color w:val="auto"/>
          <w:sz w:val="24"/>
        </w:rPr>
        <w:t>三、报价要求</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7.1对于本文件中未列明，而竞标人认为必需的费用也需列入总报价。在合同实施时，采购人将不予支付成交供应商没有列入的项目费用，并认为此项目的费用已包括在总报价中。</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7.2成交供应商负责本项目的建设执行服务全部工作。</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rPr>
        <w:t>7.3竞标人应在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竞标人原因引起的报价失误，并在磋商时被接受，其后果由竞标人自负。</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7.4竞标人须就《采购项目需求》中所有货物和服务内容作完整唯一报价。</w:t>
      </w:r>
    </w:p>
    <w:p>
      <w:pPr>
        <w:adjustRightInd w:val="0"/>
        <w:snapToGrid w:val="0"/>
        <w:spacing w:line="360" w:lineRule="auto"/>
        <w:ind w:firstLine="480" w:firstLineChars="200"/>
        <w:rPr>
          <w:rFonts w:ascii="宋体" w:hAnsi="宋体" w:cs="宋体"/>
          <w:b/>
          <w:bCs/>
          <w:color w:val="auto"/>
          <w:sz w:val="24"/>
        </w:rPr>
      </w:pPr>
      <w:r>
        <w:rPr>
          <w:rFonts w:hint="eastAsia" w:ascii="宋体" w:hAnsi="宋体" w:cs="宋体"/>
          <w:b/>
          <w:bCs/>
          <w:color w:val="auto"/>
          <w:sz w:val="24"/>
        </w:rPr>
        <w:t>四、竞争性磋商响应文件的份数、封装和递交</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8.竞争性磋商响应文件的份数和封装</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rPr>
        <w:t>8.1竞标人应将响应文件正、副本分别装订成册，在每个文本封面上标明项目名称、项目编号、磋商竞标人名称等内容，并在每个文本封面上标明“正本”或“副本”字样。竞标人应将正、副本响应文件（</w:t>
      </w:r>
      <w:r>
        <w:rPr>
          <w:rFonts w:hint="eastAsia" w:hAnsi="宋体" w:cs="宋体"/>
          <w:b/>
          <w:bCs/>
          <w:color w:val="auto"/>
          <w:sz w:val="24"/>
          <w:szCs w:val="24"/>
        </w:rPr>
        <w:t>正本一份、副本</w:t>
      </w:r>
      <w:r>
        <w:rPr>
          <w:rFonts w:hint="eastAsia" w:hAnsi="宋体" w:cs="宋体"/>
          <w:b/>
          <w:bCs/>
          <w:color w:val="auto"/>
          <w:sz w:val="24"/>
          <w:szCs w:val="24"/>
          <w:lang w:val="en-US" w:eastAsia="zh-CN"/>
        </w:rPr>
        <w:t>叁</w:t>
      </w:r>
      <w:r>
        <w:rPr>
          <w:rFonts w:hint="eastAsia" w:hAnsi="宋体" w:cs="宋体"/>
          <w:b/>
          <w:bCs/>
          <w:color w:val="auto"/>
          <w:sz w:val="24"/>
          <w:szCs w:val="24"/>
        </w:rPr>
        <w:t>份</w:t>
      </w:r>
      <w:r>
        <w:rPr>
          <w:rFonts w:hint="eastAsia" w:hAnsi="宋体" w:cs="宋体"/>
          <w:color w:val="auto"/>
          <w:sz w:val="24"/>
          <w:szCs w:val="24"/>
        </w:rPr>
        <w:t>）装入响应文件袋中加以密封，并在每一封贴处密封签章（公章、密封章、法定代表人或其委托代理人签字四种方式之一均可）。</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8.2竞争性磋商响应文件的信封上应写明：</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1）竞争性磋商项目编号；</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2）竞争性磋商项目名称；</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3）磋商竞标人名称。</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9. 竞争性磋商响应文件的递交</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9.1所有竞争性磋商的响应文件应于竞争性磋商文件中规定的时间前递交到采购人指定地点。</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9.2竞争性磋商响应文件从递交截止日期后30天内有效。</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10.迟交的竞争性磋商响应文件</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10.1</w:t>
      </w:r>
      <w:r>
        <w:rPr>
          <w:rFonts w:hint="eastAsia" w:ascii="宋体" w:hAnsi="宋体" w:cs="宋体"/>
          <w:color w:val="auto"/>
          <w:sz w:val="24"/>
          <w:u w:val="single"/>
        </w:rPr>
        <w:t>采购人</w:t>
      </w:r>
      <w:r>
        <w:rPr>
          <w:rFonts w:hint="eastAsia" w:ascii="宋体" w:hAnsi="宋体" w:cs="宋体"/>
          <w:color w:val="auto"/>
          <w:sz w:val="24"/>
        </w:rPr>
        <w:t>将拒绝或原封退回在其规定的递交竞争性磋商响应文件截止时间之后收到的任何竞争性磋商响应文件。</w:t>
      </w:r>
    </w:p>
    <w:p>
      <w:pPr>
        <w:adjustRightInd w:val="0"/>
        <w:snapToGrid w:val="0"/>
        <w:spacing w:line="360" w:lineRule="auto"/>
        <w:ind w:firstLine="480" w:firstLineChars="200"/>
        <w:rPr>
          <w:rFonts w:ascii="宋体" w:hAnsi="宋体" w:cs="宋体"/>
          <w:b/>
          <w:bCs/>
          <w:color w:val="auto"/>
          <w:sz w:val="24"/>
        </w:rPr>
      </w:pPr>
      <w:r>
        <w:rPr>
          <w:rFonts w:hint="eastAsia" w:ascii="宋体" w:hAnsi="宋体" w:cs="宋体"/>
          <w:b/>
          <w:bCs/>
          <w:color w:val="auto"/>
          <w:sz w:val="24"/>
        </w:rPr>
        <w:t>五、响应文件评审程序</w:t>
      </w: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磋商小组由采购人代表和</w:t>
      </w:r>
      <w:r>
        <w:rPr>
          <w:rFonts w:hint="eastAsia" w:ascii="宋体" w:hAnsi="宋体" w:cs="宋体"/>
          <w:color w:val="auto"/>
          <w:kern w:val="0"/>
          <w:sz w:val="24"/>
          <w:highlight w:val="none"/>
          <w:lang w:val="en-US" w:eastAsia="zh-CN"/>
        </w:rPr>
        <w:t>评委</w:t>
      </w:r>
      <w:r>
        <w:rPr>
          <w:rFonts w:hint="eastAsia" w:ascii="宋体" w:hAnsi="宋体" w:cs="宋体"/>
          <w:color w:val="auto"/>
          <w:kern w:val="0"/>
          <w:sz w:val="24"/>
          <w:highlight w:val="none"/>
        </w:rPr>
        <w:t>共3人组成，其中</w:t>
      </w:r>
      <w:r>
        <w:rPr>
          <w:rFonts w:hint="eastAsia" w:ascii="宋体" w:hAnsi="宋体" w:cs="宋体"/>
          <w:color w:val="auto"/>
          <w:kern w:val="0"/>
          <w:sz w:val="24"/>
          <w:highlight w:val="none"/>
          <w:lang w:val="en-US" w:eastAsia="zh-CN"/>
        </w:rPr>
        <w:t>评委</w:t>
      </w:r>
      <w:r>
        <w:rPr>
          <w:rFonts w:hint="eastAsia" w:ascii="宋体" w:hAnsi="宋体" w:cs="宋体"/>
          <w:color w:val="auto"/>
          <w:kern w:val="0"/>
          <w:sz w:val="24"/>
          <w:highlight w:val="none"/>
        </w:rPr>
        <w:t>不少于2人（不低于成员总数的2/3）。</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szCs w:val="32"/>
        </w:rPr>
        <w:t>11.1实质审查</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rPr>
        <w:t>（1）</w:t>
      </w:r>
      <w:r>
        <w:rPr>
          <w:rFonts w:hint="eastAsia" w:hAnsi="宋体" w:cs="宋体"/>
          <w:color w:val="auto"/>
          <w:kern w:val="0"/>
          <w:sz w:val="24"/>
          <w:szCs w:val="24"/>
        </w:rPr>
        <w:t>磋商</w:t>
      </w:r>
      <w:r>
        <w:rPr>
          <w:rFonts w:hint="eastAsia" w:hAnsi="宋体" w:cs="宋体"/>
          <w:color w:val="auto"/>
          <w:sz w:val="24"/>
          <w:szCs w:val="24"/>
        </w:rPr>
        <w:t>小组审查竞争性磋商响应文件的实质性内容是否符合竞争性磋商文件的实质性要求。</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rPr>
        <w:t>（2）</w:t>
      </w:r>
      <w:r>
        <w:rPr>
          <w:rFonts w:hint="eastAsia" w:hAnsi="宋体" w:cs="宋体"/>
          <w:color w:val="auto"/>
          <w:kern w:val="0"/>
          <w:sz w:val="24"/>
          <w:szCs w:val="24"/>
        </w:rPr>
        <w:t>磋商</w:t>
      </w:r>
      <w:r>
        <w:rPr>
          <w:rFonts w:hint="eastAsia" w:hAnsi="宋体" w:cs="宋体"/>
          <w:color w:val="auto"/>
          <w:sz w:val="24"/>
          <w:szCs w:val="24"/>
        </w:rPr>
        <w:t>小组在对竞争性磋商响应文件的有效性、完整性和响应程度进行审查时，可以要求竞标人对响应文件中含义不明确、同类问题表述不一致或者有明显文字和计算错误的内容等作出必要的澄清、说明或者更正。竞标人的澄清、说明或者更正不得超出响应文件的范围或者改变响应文件的实质性内容。</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kern w:val="0"/>
          <w:sz w:val="24"/>
          <w:szCs w:val="24"/>
        </w:rPr>
        <w:t>磋商</w:t>
      </w:r>
      <w:r>
        <w:rPr>
          <w:rFonts w:hint="eastAsia" w:hAnsi="宋体" w:cs="宋体"/>
          <w:color w:val="auto"/>
          <w:sz w:val="24"/>
          <w:szCs w:val="24"/>
        </w:rPr>
        <w:t>小组要求竞标人澄清、说明或者更正响应文件以书面形式作出。竞标人的澄清、说明或者更正应当由法定代表人或其授权代表签字或者加盖公章。</w:t>
      </w:r>
    </w:p>
    <w:p>
      <w:pPr>
        <w:adjustRightInd w:val="0"/>
        <w:snapToGrid w:val="0"/>
        <w:spacing w:line="360" w:lineRule="auto"/>
        <w:ind w:firstLine="480" w:firstLineChars="200"/>
        <w:rPr>
          <w:rFonts w:ascii="宋体" w:hAnsi="宋体" w:cs="宋体"/>
          <w:color w:val="auto"/>
          <w:sz w:val="24"/>
          <w:u w:val="single"/>
        </w:rPr>
      </w:pPr>
      <w:r>
        <w:rPr>
          <w:rFonts w:hint="eastAsia" w:ascii="宋体" w:hAnsi="宋体" w:cs="宋体"/>
          <w:color w:val="auto"/>
          <w:sz w:val="24"/>
          <w:u w:val="single"/>
        </w:rPr>
        <w:t>未实质性响应磋商文件的响应文件按无效处理，</w:t>
      </w:r>
      <w:r>
        <w:rPr>
          <w:rFonts w:hint="eastAsia" w:ascii="宋体" w:hAnsi="宋体" w:cs="宋体"/>
          <w:color w:val="auto"/>
          <w:kern w:val="0"/>
          <w:sz w:val="24"/>
          <w:u w:val="single"/>
        </w:rPr>
        <w:t>磋商</w:t>
      </w:r>
      <w:r>
        <w:rPr>
          <w:rFonts w:hint="eastAsia" w:ascii="宋体" w:hAnsi="宋体" w:cs="宋体"/>
          <w:color w:val="auto"/>
          <w:sz w:val="24"/>
          <w:u w:val="single"/>
        </w:rPr>
        <w:t>小组应当告知有关竞标人。</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11.2</w:t>
      </w:r>
      <w:r>
        <w:rPr>
          <w:rFonts w:hint="eastAsia" w:ascii="宋体" w:hAnsi="宋体" w:cs="宋体"/>
          <w:color w:val="auto"/>
          <w:kern w:val="0"/>
          <w:sz w:val="24"/>
        </w:rPr>
        <w:t>磋商</w:t>
      </w:r>
    </w:p>
    <w:p>
      <w:pPr>
        <w:adjustRightInd w:val="0"/>
        <w:snapToGrid w:val="0"/>
        <w:spacing w:line="360" w:lineRule="auto"/>
        <w:ind w:firstLine="480" w:firstLineChars="200"/>
        <w:rPr>
          <w:rFonts w:ascii="宋体" w:hAnsi="宋体" w:cs="宋体"/>
          <w:color w:val="auto"/>
          <w:spacing w:val="-4"/>
          <w:sz w:val="24"/>
        </w:rPr>
      </w:pPr>
      <w:r>
        <w:rPr>
          <w:rFonts w:hint="eastAsia" w:ascii="宋体" w:hAnsi="宋体" w:cs="宋体"/>
          <w:color w:val="auto"/>
          <w:kern w:val="0"/>
          <w:sz w:val="24"/>
        </w:rPr>
        <w:t>磋商</w:t>
      </w:r>
      <w:r>
        <w:rPr>
          <w:rFonts w:hint="eastAsia" w:ascii="宋体" w:hAnsi="宋体" w:cs="宋体"/>
          <w:bCs/>
          <w:color w:val="auto"/>
          <w:sz w:val="24"/>
        </w:rPr>
        <w:t>时间及地点：</w:t>
      </w:r>
      <w:r>
        <w:rPr>
          <w:rFonts w:hint="eastAsia" w:ascii="宋体" w:hAnsi="宋体" w:cs="宋体"/>
          <w:color w:val="auto"/>
          <w:sz w:val="24"/>
        </w:rPr>
        <w:t>详见</w:t>
      </w:r>
      <w:r>
        <w:rPr>
          <w:rFonts w:hint="eastAsia" w:ascii="宋体" w:hAnsi="宋体" w:cs="宋体"/>
          <w:color w:val="auto"/>
          <w:spacing w:val="-4"/>
          <w:sz w:val="24"/>
        </w:rPr>
        <w:t>本须知前附表第7项规定。</w:t>
      </w:r>
    </w:p>
    <w:p>
      <w:pPr>
        <w:widowControl/>
        <w:shd w:val="clear" w:color="auto" w:fill="FFFFFF"/>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（1）磋商小组所有成员应当集中与单一竞标人分别进行磋商，并给予所有参加磋商的竞标人平等的磋商机会。</w:t>
      </w:r>
    </w:p>
    <w:p>
      <w:pPr>
        <w:widowControl/>
        <w:tabs>
          <w:tab w:val="left" w:pos="540"/>
        </w:tabs>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（2）</w:t>
      </w:r>
      <w:r>
        <w:rPr>
          <w:rFonts w:hint="eastAsia" w:ascii="宋体" w:hAnsi="宋体" w:cs="宋体"/>
          <w:color w:val="auto"/>
          <w:kern w:val="0"/>
          <w:sz w:val="24"/>
        </w:rPr>
        <w:t>磋商</w:t>
      </w:r>
      <w:r>
        <w:rPr>
          <w:rFonts w:hint="eastAsia" w:ascii="宋体" w:hAnsi="宋体" w:cs="宋体"/>
          <w:color w:val="auto"/>
          <w:sz w:val="24"/>
        </w:rPr>
        <w:t>小组根据与竞标人</w:t>
      </w:r>
      <w:r>
        <w:rPr>
          <w:rFonts w:hint="eastAsia" w:ascii="宋体" w:hAnsi="宋体" w:cs="宋体"/>
          <w:color w:val="auto"/>
          <w:kern w:val="0"/>
          <w:sz w:val="24"/>
        </w:rPr>
        <w:t>磋商</w:t>
      </w:r>
      <w:r>
        <w:rPr>
          <w:rFonts w:hint="eastAsia" w:ascii="宋体" w:hAnsi="宋体" w:cs="宋体"/>
          <w:color w:val="auto"/>
          <w:sz w:val="24"/>
        </w:rPr>
        <w:t>情况不可实质性变动的内容，须经采购人重新确认。</w:t>
      </w:r>
    </w:p>
    <w:p>
      <w:pPr>
        <w:widowControl/>
        <w:tabs>
          <w:tab w:val="left" w:pos="540"/>
        </w:tabs>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kern w:val="0"/>
          <w:sz w:val="24"/>
        </w:rPr>
        <w:t>（</w:t>
      </w:r>
      <w:r>
        <w:rPr>
          <w:rFonts w:hint="eastAsia" w:ascii="宋体" w:hAnsi="宋体" w:cs="宋体"/>
          <w:color w:val="auto"/>
          <w:kern w:val="0"/>
          <w:sz w:val="24"/>
          <w:lang w:val="en-US" w:eastAsia="zh-CN"/>
        </w:rPr>
        <w:t>3</w:t>
      </w:r>
      <w:r>
        <w:rPr>
          <w:rFonts w:hint="eastAsia" w:ascii="宋体" w:hAnsi="宋体" w:cs="宋体"/>
          <w:color w:val="auto"/>
          <w:kern w:val="0"/>
          <w:sz w:val="24"/>
        </w:rPr>
        <w:t>）磋商</w:t>
      </w:r>
      <w:r>
        <w:rPr>
          <w:rFonts w:hint="eastAsia" w:ascii="宋体" w:hAnsi="宋体" w:cs="宋体"/>
          <w:color w:val="auto"/>
          <w:sz w:val="24"/>
        </w:rPr>
        <w:t>评审在严格保密的情况下进行，</w:t>
      </w:r>
      <w:r>
        <w:rPr>
          <w:rFonts w:hint="eastAsia" w:ascii="宋体" w:hAnsi="宋体" w:cs="宋体"/>
          <w:color w:val="auto"/>
          <w:kern w:val="0"/>
          <w:sz w:val="24"/>
        </w:rPr>
        <w:t>磋商</w:t>
      </w:r>
      <w:r>
        <w:rPr>
          <w:rFonts w:hint="eastAsia" w:ascii="宋体" w:hAnsi="宋体" w:cs="宋体"/>
          <w:color w:val="auto"/>
          <w:sz w:val="24"/>
        </w:rPr>
        <w:t>的任何一方不得透露与</w:t>
      </w:r>
      <w:r>
        <w:rPr>
          <w:rFonts w:hint="eastAsia" w:ascii="宋体" w:hAnsi="宋体" w:cs="宋体"/>
          <w:color w:val="auto"/>
          <w:kern w:val="0"/>
          <w:sz w:val="24"/>
        </w:rPr>
        <w:t>磋商</w:t>
      </w:r>
      <w:r>
        <w:rPr>
          <w:rFonts w:hint="eastAsia" w:ascii="宋体" w:hAnsi="宋体" w:cs="宋体"/>
          <w:color w:val="auto"/>
          <w:sz w:val="24"/>
        </w:rPr>
        <w:t>有关的其他竞标人的技术资料、价格和其他信息。</w:t>
      </w:r>
    </w:p>
    <w:p>
      <w:pPr>
        <w:widowControl/>
        <w:tabs>
          <w:tab w:val="left" w:pos="540"/>
        </w:tabs>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11.3最后报价</w:t>
      </w:r>
    </w:p>
    <w:p>
      <w:pPr>
        <w:spacing w:line="360" w:lineRule="auto"/>
        <w:ind w:firstLine="480" w:firstLineChars="200"/>
        <w:rPr>
          <w:rFonts w:ascii="宋体" w:hAnsi="宋体" w:cs="宋体"/>
          <w:color w:val="auto"/>
          <w:sz w:val="24"/>
        </w:rPr>
      </w:pPr>
      <w:r>
        <w:rPr>
          <w:rFonts w:hint="eastAsia" w:ascii="宋体" w:hAnsi="宋体" w:cs="宋体"/>
          <w:color w:val="auto"/>
          <w:sz w:val="24"/>
        </w:rPr>
        <w:t>11.3.1</w:t>
      </w:r>
      <w:r>
        <w:rPr>
          <w:rFonts w:hint="eastAsia" w:ascii="宋体" w:hAnsi="宋体" w:cs="宋体"/>
          <w:color w:val="auto"/>
          <w:kern w:val="0"/>
          <w:sz w:val="24"/>
        </w:rPr>
        <w:t>磋商</w:t>
      </w:r>
      <w:r>
        <w:rPr>
          <w:rFonts w:hint="eastAsia" w:ascii="宋体" w:hAnsi="宋体" w:cs="宋体"/>
          <w:color w:val="auto"/>
          <w:sz w:val="24"/>
        </w:rPr>
        <w:t>小组只要求商务评审和技术（服务）评审合格的</w:t>
      </w:r>
      <w:r>
        <w:rPr>
          <w:rFonts w:hint="eastAsia" w:ascii="宋体" w:hAnsi="宋体" w:cs="宋体"/>
          <w:color w:val="auto"/>
          <w:kern w:val="0"/>
          <w:sz w:val="24"/>
        </w:rPr>
        <w:t>磋商</w:t>
      </w:r>
      <w:r>
        <w:rPr>
          <w:rFonts w:hint="eastAsia" w:ascii="宋体" w:hAnsi="宋体" w:cs="宋体"/>
          <w:color w:val="auto"/>
          <w:sz w:val="24"/>
        </w:rPr>
        <w:t>竞标人在规定的时间内进行最后报价。</w:t>
      </w:r>
      <w:r>
        <w:rPr>
          <w:rFonts w:hint="eastAsia" w:ascii="宋体" w:hAnsi="宋体" w:cs="宋体"/>
          <w:color w:val="auto"/>
          <w:kern w:val="0"/>
          <w:sz w:val="24"/>
        </w:rPr>
        <w:t>磋商</w:t>
      </w:r>
      <w:r>
        <w:rPr>
          <w:rFonts w:hint="eastAsia" w:ascii="宋体" w:hAnsi="宋体" w:cs="宋体"/>
          <w:color w:val="auto"/>
          <w:sz w:val="24"/>
        </w:rPr>
        <w:t>小组按综合评定分数从高到低排序，推荐成交候选人顺序，形成</w:t>
      </w:r>
      <w:r>
        <w:rPr>
          <w:rFonts w:hint="eastAsia" w:ascii="宋体" w:hAnsi="宋体" w:cs="宋体"/>
          <w:color w:val="auto"/>
          <w:kern w:val="0"/>
          <w:sz w:val="24"/>
        </w:rPr>
        <w:t>磋商</w:t>
      </w:r>
      <w:r>
        <w:rPr>
          <w:rFonts w:hint="eastAsia" w:ascii="宋体" w:hAnsi="宋体" w:cs="宋体"/>
          <w:color w:val="auto"/>
          <w:sz w:val="24"/>
        </w:rPr>
        <w:t>报告。原则上参加采购的竞标人不得少于3家。</w:t>
      </w:r>
    </w:p>
    <w:p>
      <w:pPr>
        <w:spacing w:line="360" w:lineRule="auto"/>
        <w:ind w:firstLine="480" w:firstLineChars="200"/>
        <w:rPr>
          <w:rFonts w:ascii="宋体" w:hAnsi="宋体" w:cs="宋体"/>
          <w:color w:val="auto"/>
          <w:sz w:val="24"/>
        </w:rPr>
      </w:pPr>
      <w:r>
        <w:rPr>
          <w:rFonts w:hint="eastAsia" w:ascii="宋体" w:hAnsi="宋体" w:cs="宋体"/>
          <w:color w:val="auto"/>
          <w:sz w:val="24"/>
        </w:rPr>
        <w:t>11.3.2</w:t>
      </w:r>
      <w:r>
        <w:rPr>
          <w:rFonts w:hint="eastAsia" w:ascii="宋体" w:hAnsi="宋体" w:cs="宋体"/>
          <w:color w:val="auto"/>
          <w:kern w:val="0"/>
          <w:sz w:val="24"/>
        </w:rPr>
        <w:t>磋商</w:t>
      </w:r>
      <w:r>
        <w:rPr>
          <w:rFonts w:hint="eastAsia" w:ascii="宋体" w:hAnsi="宋体" w:cs="宋体"/>
          <w:color w:val="auto"/>
          <w:sz w:val="24"/>
        </w:rPr>
        <w:t>采购文件不能详细列明采购标的的技术、服务要求，需经</w:t>
      </w:r>
      <w:r>
        <w:rPr>
          <w:rFonts w:hint="eastAsia" w:ascii="宋体" w:hAnsi="宋体" w:cs="宋体"/>
          <w:color w:val="auto"/>
          <w:kern w:val="0"/>
          <w:sz w:val="24"/>
        </w:rPr>
        <w:t>磋商</w:t>
      </w:r>
      <w:r>
        <w:rPr>
          <w:rFonts w:hint="eastAsia" w:ascii="宋体" w:hAnsi="宋体" w:cs="宋体"/>
          <w:color w:val="auto"/>
          <w:sz w:val="24"/>
        </w:rPr>
        <w:t>由</w:t>
      </w:r>
      <w:r>
        <w:rPr>
          <w:rFonts w:hint="eastAsia" w:ascii="宋体" w:hAnsi="宋体" w:cs="宋体"/>
          <w:color w:val="auto"/>
          <w:spacing w:val="-4"/>
          <w:sz w:val="24"/>
        </w:rPr>
        <w:t>磋商</w:t>
      </w:r>
      <w:r>
        <w:rPr>
          <w:rFonts w:hint="eastAsia" w:ascii="宋体" w:hAnsi="宋体" w:cs="宋体"/>
          <w:color w:val="auto"/>
          <w:sz w:val="24"/>
        </w:rPr>
        <w:t>竞标人提供最终解决方案的，</w:t>
      </w:r>
      <w:r>
        <w:rPr>
          <w:rFonts w:hint="eastAsia" w:ascii="宋体" w:hAnsi="宋体" w:cs="宋体"/>
          <w:color w:val="auto"/>
          <w:kern w:val="0"/>
          <w:sz w:val="24"/>
        </w:rPr>
        <w:t>磋商</w:t>
      </w:r>
      <w:r>
        <w:rPr>
          <w:rFonts w:hint="eastAsia" w:ascii="宋体" w:hAnsi="宋体" w:cs="宋体"/>
          <w:color w:val="auto"/>
          <w:sz w:val="24"/>
        </w:rPr>
        <w:t>结束后，</w:t>
      </w:r>
      <w:r>
        <w:rPr>
          <w:rFonts w:hint="eastAsia" w:ascii="宋体" w:hAnsi="宋体" w:cs="宋体"/>
          <w:color w:val="auto"/>
          <w:kern w:val="0"/>
          <w:sz w:val="24"/>
        </w:rPr>
        <w:t>磋商</w:t>
      </w:r>
      <w:r>
        <w:rPr>
          <w:rFonts w:hint="eastAsia" w:ascii="宋体" w:hAnsi="宋体" w:cs="宋体"/>
          <w:color w:val="auto"/>
          <w:sz w:val="24"/>
        </w:rPr>
        <w:t>小组应当按照少数服从多数的原则投票推荐至少3家以上</w:t>
      </w:r>
      <w:r>
        <w:rPr>
          <w:rFonts w:hint="eastAsia" w:ascii="宋体" w:hAnsi="宋体" w:cs="宋体"/>
          <w:color w:val="auto"/>
          <w:spacing w:val="-4"/>
          <w:sz w:val="24"/>
        </w:rPr>
        <w:t>磋商</w:t>
      </w:r>
      <w:r>
        <w:rPr>
          <w:rFonts w:hint="eastAsia" w:ascii="宋体" w:hAnsi="宋体" w:cs="宋体"/>
          <w:color w:val="auto"/>
          <w:sz w:val="24"/>
        </w:rPr>
        <w:t>竞标人的解决方案，并要求其在规定时间内提交最后报价。</w:t>
      </w:r>
    </w:p>
    <w:p>
      <w:pPr>
        <w:spacing w:line="360" w:lineRule="auto"/>
        <w:ind w:firstLine="480" w:firstLineChars="200"/>
        <w:rPr>
          <w:rFonts w:ascii="宋体" w:hAnsi="宋体" w:cs="宋体"/>
          <w:color w:val="auto"/>
          <w:sz w:val="24"/>
        </w:rPr>
      </w:pPr>
      <w:r>
        <w:rPr>
          <w:rFonts w:hint="eastAsia" w:ascii="宋体" w:hAnsi="宋体" w:cs="宋体"/>
          <w:color w:val="auto"/>
          <w:sz w:val="24"/>
        </w:rPr>
        <w:t>11.3.3最后报价是</w:t>
      </w:r>
      <w:r>
        <w:rPr>
          <w:rFonts w:hint="eastAsia" w:ascii="宋体" w:hAnsi="宋体" w:cs="宋体"/>
          <w:color w:val="auto"/>
          <w:spacing w:val="-4"/>
          <w:sz w:val="24"/>
        </w:rPr>
        <w:t>磋商</w:t>
      </w:r>
      <w:r>
        <w:rPr>
          <w:rFonts w:hint="eastAsia" w:ascii="宋体" w:hAnsi="宋体" w:cs="宋体"/>
          <w:color w:val="auto"/>
          <w:sz w:val="24"/>
        </w:rPr>
        <w:t>竞标人</w:t>
      </w:r>
      <w:r>
        <w:rPr>
          <w:rFonts w:hint="eastAsia" w:ascii="宋体" w:hAnsi="宋体" w:cs="宋体"/>
          <w:color w:val="auto"/>
          <w:kern w:val="0"/>
          <w:sz w:val="24"/>
        </w:rPr>
        <w:t>磋商</w:t>
      </w:r>
      <w:r>
        <w:rPr>
          <w:rFonts w:hint="eastAsia" w:ascii="宋体" w:hAnsi="宋体" w:cs="宋体"/>
          <w:color w:val="auto"/>
          <w:sz w:val="24"/>
        </w:rPr>
        <w:t>响应文件的有效组成部分。</w:t>
      </w:r>
    </w:p>
    <w:p>
      <w:pPr>
        <w:widowControl/>
        <w:tabs>
          <w:tab w:val="left" w:pos="540"/>
        </w:tabs>
        <w:spacing w:line="360" w:lineRule="auto"/>
        <w:ind w:firstLine="480" w:firstLineChars="200"/>
        <w:jc w:val="left"/>
        <w:rPr>
          <w:rFonts w:ascii="宋体" w:hAnsi="宋体" w:cs="宋体"/>
          <w:b/>
          <w:bCs/>
          <w:color w:val="auto"/>
          <w:sz w:val="24"/>
          <w:szCs w:val="32"/>
        </w:rPr>
      </w:pPr>
      <w:r>
        <w:rPr>
          <w:rFonts w:hint="eastAsia" w:ascii="宋体" w:hAnsi="宋体" w:cs="宋体"/>
          <w:color w:val="auto"/>
          <w:sz w:val="24"/>
        </w:rPr>
        <w:t>11.4</w:t>
      </w:r>
      <w:r>
        <w:rPr>
          <w:rFonts w:hint="eastAsia" w:ascii="宋体" w:hAnsi="宋体" w:cs="宋体"/>
          <w:b/>
          <w:bCs/>
          <w:color w:val="auto"/>
          <w:sz w:val="24"/>
          <w:szCs w:val="32"/>
        </w:rPr>
        <w:t>在评标过程中出现法律法规和磋商采购文件均没有明确规定的情形时，由磋商小组现场协商解决，协商不一致的，由全体磋商小组投票表决，以得票率二分之一以上磋商小组成员的意见为准。</w:t>
      </w:r>
    </w:p>
    <w:p>
      <w:pPr>
        <w:widowControl/>
        <w:tabs>
          <w:tab w:val="left" w:pos="540"/>
        </w:tabs>
        <w:spacing w:line="360" w:lineRule="auto"/>
        <w:ind w:firstLine="480" w:firstLineChars="200"/>
        <w:jc w:val="left"/>
        <w:rPr>
          <w:rFonts w:ascii="宋体" w:hAnsi="宋体" w:cs="宋体"/>
          <w:color w:val="auto"/>
          <w:sz w:val="24"/>
        </w:rPr>
      </w:pPr>
      <w:r>
        <w:rPr>
          <w:rFonts w:hint="eastAsia" w:ascii="宋体" w:hAnsi="宋体" w:cs="宋体"/>
          <w:bCs/>
          <w:color w:val="auto"/>
          <w:sz w:val="24"/>
          <w:szCs w:val="32"/>
        </w:rPr>
        <w:t>11.5</w:t>
      </w:r>
      <w:r>
        <w:rPr>
          <w:rFonts w:hint="eastAsia" w:ascii="宋体" w:hAnsi="宋体" w:cs="宋体"/>
          <w:color w:val="auto"/>
          <w:sz w:val="24"/>
        </w:rPr>
        <w:t>特别说明：</w:t>
      </w:r>
    </w:p>
    <w:p>
      <w:pPr>
        <w:widowControl/>
        <w:tabs>
          <w:tab w:val="left" w:pos="540"/>
        </w:tabs>
        <w:spacing w:line="360" w:lineRule="auto"/>
        <w:ind w:firstLine="480" w:firstLineChars="200"/>
        <w:jc w:val="left"/>
        <w:rPr>
          <w:rFonts w:ascii="宋体" w:hAnsi="宋体" w:cs="宋体"/>
          <w:color w:val="auto"/>
          <w:sz w:val="24"/>
        </w:rPr>
      </w:pPr>
      <w:r>
        <w:rPr>
          <w:rFonts w:hint="eastAsia" w:ascii="宋体" w:hAnsi="宋体" w:cs="宋体"/>
          <w:color w:val="auto"/>
          <w:sz w:val="24"/>
        </w:rPr>
        <w:t>（1）出现下列情形之一的；当报价相同时，评标价相同时，依次按技术指标高优先、质量保证期长优先、处理问题响应时间短优先的顺序排列,评标价相同且前述指标均相同时，由</w:t>
      </w:r>
      <w:r>
        <w:rPr>
          <w:rFonts w:hint="eastAsia" w:ascii="宋体" w:hAnsi="宋体" w:cs="宋体"/>
          <w:color w:val="auto"/>
          <w:kern w:val="0"/>
          <w:sz w:val="24"/>
        </w:rPr>
        <w:t>磋商</w:t>
      </w:r>
      <w:r>
        <w:rPr>
          <w:rFonts w:hint="eastAsia" w:ascii="宋体" w:hAnsi="宋体" w:cs="宋体"/>
          <w:color w:val="auto"/>
          <w:sz w:val="24"/>
        </w:rPr>
        <w:t>小组各成员对评标价相同的竞标人当场投票表决，得票多者优先；按前述程序仍无法确定竞标人排名顺序的，由评审委员会抽签决定。多家竞标人参加同一项目或同一分标的竞标时，如其中两家或两家以上竞标人的法定代表人为同一人或相互之间存在投资关系且达到控股的，应当按一个竞标人认定。</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（2）竞标人竞标所使用的资格、信誉、荣誉、业绩与企业认证必须为本法人所拥有。</w:t>
      </w:r>
    </w:p>
    <w:p>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（3）竞标人应仔细阅读</w:t>
      </w:r>
      <w:r>
        <w:rPr>
          <w:rFonts w:hint="eastAsia" w:ascii="宋体" w:hAnsi="宋体" w:cs="宋体"/>
          <w:color w:val="auto"/>
          <w:kern w:val="0"/>
          <w:sz w:val="24"/>
        </w:rPr>
        <w:t>磋商</w:t>
      </w:r>
      <w:r>
        <w:rPr>
          <w:rFonts w:hint="eastAsia" w:ascii="宋体" w:hAnsi="宋体" w:cs="宋体"/>
          <w:color w:val="auto"/>
          <w:sz w:val="24"/>
        </w:rPr>
        <w:t>采购文件的所有内容，按照</w:t>
      </w:r>
      <w:r>
        <w:rPr>
          <w:rFonts w:hint="eastAsia" w:ascii="宋体" w:hAnsi="宋体" w:cs="宋体"/>
          <w:color w:val="auto"/>
          <w:kern w:val="0"/>
          <w:sz w:val="24"/>
        </w:rPr>
        <w:t>磋商</w:t>
      </w:r>
      <w:r>
        <w:rPr>
          <w:rFonts w:hint="eastAsia" w:ascii="宋体" w:hAnsi="宋体" w:cs="宋体"/>
          <w:color w:val="auto"/>
          <w:sz w:val="24"/>
        </w:rPr>
        <w:t>采购文件的要求提交响应文件，并对所提供的全部资料的真实性承担法律责任。</w:t>
      </w:r>
    </w:p>
    <w:p>
      <w:pPr>
        <w:widowControl/>
        <w:spacing w:line="360" w:lineRule="auto"/>
        <w:ind w:firstLine="480" w:firstLineChars="200"/>
        <w:jc w:val="left"/>
        <w:rPr>
          <w:rFonts w:ascii="宋体" w:hAnsi="宋体" w:cs="宋体"/>
          <w:color w:val="auto"/>
          <w:sz w:val="24"/>
          <w:szCs w:val="32"/>
        </w:rPr>
      </w:pPr>
      <w:r>
        <w:rPr>
          <w:rFonts w:hint="eastAsia" w:ascii="宋体" w:hAnsi="宋体" w:cs="宋体"/>
          <w:color w:val="auto"/>
          <w:sz w:val="24"/>
        </w:rPr>
        <w:t>（4）竞标人在竞标活动中提供任何虚假材料，其竞标无效，并报有关部门查处；中标后发现的，成交竞标人须依照《中华人民共和国消费者权益保护法》规定赔偿采购人，且民事赔偿并不免除违法竞标人的行政与刑事责任。</w:t>
      </w:r>
    </w:p>
    <w:p>
      <w:pPr>
        <w:spacing w:line="360" w:lineRule="auto"/>
        <w:ind w:firstLine="480" w:firstLineChars="200"/>
        <w:rPr>
          <w:rFonts w:ascii="宋体" w:hAnsi="宋体" w:cs="宋体"/>
          <w:b/>
          <w:color w:val="auto"/>
          <w:sz w:val="24"/>
        </w:rPr>
      </w:pPr>
      <w:bookmarkStart w:id="25" w:name="_Toc31657_WPSOffice_Level2"/>
      <w:r>
        <w:rPr>
          <w:rFonts w:hint="eastAsia" w:ascii="宋体" w:hAnsi="宋体" w:cs="宋体"/>
          <w:b/>
          <w:color w:val="auto"/>
          <w:sz w:val="24"/>
        </w:rPr>
        <w:t>六、确定成交供应商办法及结果公告</w:t>
      </w:r>
      <w:bookmarkEnd w:id="25"/>
    </w:p>
    <w:p>
      <w:pPr>
        <w:spacing w:line="360" w:lineRule="auto"/>
        <w:ind w:firstLine="480" w:firstLineChars="200"/>
        <w:rPr>
          <w:rFonts w:ascii="宋体" w:hAnsi="宋体" w:cs="宋体"/>
          <w:color w:val="auto"/>
          <w:sz w:val="24"/>
        </w:rPr>
      </w:pPr>
      <w:r>
        <w:rPr>
          <w:rFonts w:hint="eastAsia" w:ascii="宋体" w:hAnsi="宋体" w:cs="宋体"/>
          <w:color w:val="auto"/>
          <w:sz w:val="24"/>
        </w:rPr>
        <w:t>12.1</w:t>
      </w:r>
      <w:r>
        <w:rPr>
          <w:rFonts w:hint="eastAsia" w:ascii="宋体" w:hAnsi="宋体" w:cs="宋体"/>
          <w:bCs/>
          <w:color w:val="auto"/>
          <w:sz w:val="24"/>
          <w:szCs w:val="32"/>
        </w:rPr>
        <w:t>磋商小组将按总得分由高到低排列中标候选竞标人顺序（总得分相同时，依次按投标报价低优先、技术分高优先、质量保证期长优先、提交服务成果时间短优先、处理问题到达时间短优先的顺序排列），并依照次序确定中标竞标人。</w:t>
      </w:r>
    </w:p>
    <w:p>
      <w:pPr>
        <w:spacing w:line="360" w:lineRule="auto"/>
        <w:ind w:firstLine="480" w:firstLineChars="200"/>
        <w:rPr>
          <w:rFonts w:ascii="宋体" w:hAnsi="宋体" w:cs="宋体"/>
          <w:color w:val="auto"/>
          <w:sz w:val="24"/>
          <w:szCs w:val="32"/>
        </w:rPr>
      </w:pPr>
      <w:r>
        <w:rPr>
          <w:rFonts w:hint="eastAsia" w:ascii="宋体" w:hAnsi="宋体" w:cs="宋体"/>
          <w:color w:val="auto"/>
          <w:sz w:val="24"/>
        </w:rPr>
        <w:t>12.2</w:t>
      </w:r>
      <w:r>
        <w:rPr>
          <w:rFonts w:hint="eastAsia" w:ascii="宋体" w:hAnsi="宋体" w:cs="宋体"/>
          <w:color w:val="auto"/>
          <w:kern w:val="0"/>
          <w:sz w:val="24"/>
        </w:rPr>
        <w:t>采购人应当评标后5个工作日内确定成交供应商。</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12.3采购人应当在确定成交供应商后2个工作日内，向成交供应商发出成交通知书，并在</w:t>
      </w:r>
      <w:r>
        <w:rPr>
          <w:rFonts w:hint="eastAsia" w:ascii="宋体" w:hAnsi="宋体" w:cs="宋体"/>
          <w:color w:val="auto"/>
          <w:sz w:val="24"/>
          <w:szCs w:val="32"/>
        </w:rPr>
        <w:t>广西国际博览集团有限公司</w:t>
      </w:r>
      <w:r>
        <w:rPr>
          <w:rFonts w:hint="eastAsia" w:ascii="宋体" w:hAnsi="宋体" w:cs="宋体"/>
          <w:color w:val="auto"/>
          <w:sz w:val="24"/>
        </w:rPr>
        <w:t xml:space="preserve">官网上公告成交结果。 </w:t>
      </w:r>
    </w:p>
    <w:p>
      <w:pPr>
        <w:adjustRightInd w:val="0"/>
        <w:snapToGrid w:val="0"/>
        <w:spacing w:line="360" w:lineRule="auto"/>
        <w:ind w:firstLine="480" w:firstLineChars="200"/>
        <w:rPr>
          <w:rFonts w:ascii="宋体" w:hAnsi="宋体" w:cs="宋体"/>
          <w:b/>
          <w:bCs/>
          <w:color w:val="auto"/>
          <w:sz w:val="24"/>
        </w:rPr>
      </w:pPr>
      <w:r>
        <w:rPr>
          <w:rFonts w:hint="eastAsia" w:ascii="宋体" w:hAnsi="宋体" w:cs="宋体"/>
          <w:b/>
          <w:bCs/>
          <w:color w:val="auto"/>
          <w:sz w:val="24"/>
        </w:rPr>
        <w:t>七、签订合同</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13.1成交供应商在收到成交通知书后，应按成交通知书中规定的时间、地点与采购人签订合同。</w:t>
      </w:r>
    </w:p>
    <w:p>
      <w:pPr>
        <w:pStyle w:val="9"/>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rPr>
        <w:t>13.2成交供应商不按成交通知书规定签订合同，采购人可以按本项目确定成交供应商办法确定顺位竞标人作为成交供应商并签订采购合同，也可以重新开展采购活动。拒绝签订采购合同的成交供应商不得参加对该项目重新开展的采购活动。</w:t>
      </w:r>
    </w:p>
    <w:p>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13.3成交供应商因不可抗力或者自身原因不能履行采购合同的，采购人可以与成交供应商之后排名第一的成交候选竞标人签订采购合同，以此类推。</w:t>
      </w:r>
    </w:p>
    <w:p>
      <w:pPr>
        <w:rPr>
          <w:color w:val="auto"/>
        </w:rPr>
      </w:pPr>
    </w:p>
    <w:p>
      <w:pPr>
        <w:jc w:val="center"/>
        <w:rPr>
          <w:b/>
          <w:bCs/>
          <w:color w:val="auto"/>
          <w:sz w:val="44"/>
          <w:szCs w:val="44"/>
        </w:rPr>
      </w:pPr>
      <w:bookmarkStart w:id="26" w:name="_Toc77937043"/>
    </w:p>
    <w:p>
      <w:pPr>
        <w:jc w:val="center"/>
        <w:rPr>
          <w:b/>
          <w:bCs/>
          <w:color w:val="auto"/>
          <w:sz w:val="44"/>
          <w:szCs w:val="44"/>
        </w:rPr>
      </w:pPr>
    </w:p>
    <w:p>
      <w:pPr>
        <w:jc w:val="center"/>
        <w:rPr>
          <w:b/>
          <w:bCs/>
          <w:color w:val="auto"/>
          <w:sz w:val="44"/>
          <w:szCs w:val="44"/>
        </w:rPr>
      </w:pPr>
    </w:p>
    <w:p>
      <w:pPr>
        <w:jc w:val="center"/>
        <w:rPr>
          <w:b/>
          <w:bCs/>
          <w:color w:val="auto"/>
          <w:sz w:val="44"/>
          <w:szCs w:val="44"/>
        </w:rPr>
      </w:pPr>
    </w:p>
    <w:p>
      <w:pPr>
        <w:jc w:val="center"/>
        <w:outlineLvl w:val="0"/>
        <w:rPr>
          <w:b/>
          <w:bCs/>
          <w:color w:val="auto"/>
        </w:rPr>
      </w:pPr>
      <w:r>
        <w:rPr>
          <w:b/>
          <w:bCs/>
          <w:color w:val="auto"/>
          <w:sz w:val="44"/>
          <w:szCs w:val="44"/>
        </w:rPr>
        <w:br w:type="page"/>
      </w:r>
      <w:r>
        <w:rPr>
          <w:b/>
          <w:bCs/>
          <w:color w:val="auto"/>
          <w:sz w:val="44"/>
          <w:szCs w:val="44"/>
        </w:rPr>
        <w:t>第三章  采购项目需求</w:t>
      </w:r>
      <w:bookmarkEnd w:id="26"/>
    </w:p>
    <w:p>
      <w:pPr>
        <w:tabs>
          <w:tab w:val="left" w:pos="180"/>
          <w:tab w:val="left" w:pos="1620"/>
        </w:tabs>
        <w:spacing w:line="360" w:lineRule="auto"/>
        <w:ind w:firstLine="480" w:firstLineChars="200"/>
        <w:rPr>
          <w:rFonts w:ascii="宋体" w:hAnsi="宋体" w:cs="宋体"/>
          <w:color w:val="auto"/>
          <w:sz w:val="24"/>
          <w:u w:val="single"/>
        </w:rPr>
      </w:pPr>
      <w:bookmarkStart w:id="27" w:name="_Toc77937044"/>
      <w:r>
        <w:rPr>
          <w:rFonts w:hint="eastAsia" w:ascii="宋体" w:hAnsi="宋体" w:cs="宋体"/>
          <w:color w:val="auto"/>
          <w:sz w:val="24"/>
        </w:rPr>
        <w:t>一、采购项目类别：</w:t>
      </w:r>
      <w:r>
        <w:rPr>
          <w:rFonts w:hint="eastAsia" w:ascii="宋体" w:hAnsi="宋体" w:cs="宋体"/>
          <w:color w:val="auto"/>
          <w:sz w:val="24"/>
          <w:u w:val="single"/>
        </w:rPr>
        <w:t>服务类</w:t>
      </w:r>
    </w:p>
    <w:p>
      <w:pPr>
        <w:tabs>
          <w:tab w:val="left" w:pos="180"/>
          <w:tab w:val="left" w:pos="1620"/>
        </w:tabs>
        <w:spacing w:line="360" w:lineRule="auto"/>
        <w:ind w:firstLine="480" w:firstLineChars="200"/>
        <w:rPr>
          <w:rFonts w:ascii="宋体" w:hAnsi="宋体" w:cs="宋体"/>
          <w:color w:val="auto"/>
          <w:sz w:val="24"/>
        </w:rPr>
      </w:pPr>
      <w:r>
        <w:rPr>
          <w:rFonts w:hint="eastAsia" w:ascii="宋体" w:hAnsi="宋体" w:cs="宋体"/>
          <w:color w:val="auto"/>
          <w:sz w:val="24"/>
        </w:rPr>
        <w:t>二、说明：</w:t>
      </w:r>
    </w:p>
    <w:p>
      <w:pPr>
        <w:tabs>
          <w:tab w:val="left" w:pos="180"/>
          <w:tab w:val="left" w:pos="1620"/>
        </w:tabs>
        <w:spacing w:line="360" w:lineRule="auto"/>
        <w:ind w:firstLine="480" w:firstLineChars="200"/>
        <w:rPr>
          <w:rFonts w:ascii="宋体" w:hAnsi="宋体" w:cs="宋体"/>
          <w:color w:val="auto"/>
          <w:sz w:val="24"/>
        </w:rPr>
      </w:pPr>
      <w:r>
        <w:rPr>
          <w:rFonts w:hint="eastAsia" w:ascii="宋体" w:hAnsi="宋体" w:cs="宋体"/>
          <w:color w:val="auto"/>
          <w:sz w:val="24"/>
        </w:rPr>
        <w:t>1.本项目需求一览表中内容如与第六章“合同条款及格式”相关条款不一致的，以本表为准。</w:t>
      </w:r>
    </w:p>
    <w:p>
      <w:pPr>
        <w:tabs>
          <w:tab w:val="left" w:pos="180"/>
          <w:tab w:val="left" w:pos="1620"/>
        </w:tabs>
        <w:spacing w:line="360" w:lineRule="auto"/>
        <w:ind w:firstLine="480" w:firstLineChars="200"/>
        <w:rPr>
          <w:rFonts w:ascii="宋体" w:hAnsi="宋体" w:cs="宋体"/>
          <w:color w:val="auto"/>
          <w:sz w:val="24"/>
        </w:rPr>
      </w:pPr>
      <w:r>
        <w:rPr>
          <w:rFonts w:hint="eastAsia" w:ascii="宋体" w:hAnsi="宋体" w:cs="宋体"/>
          <w:color w:val="auto"/>
          <w:sz w:val="24"/>
        </w:rPr>
        <w:t>2.本表未明确的技术要求和规范，按国家、行业的相关标准执行。</w:t>
      </w:r>
    </w:p>
    <w:p>
      <w:pPr>
        <w:tabs>
          <w:tab w:val="left" w:pos="180"/>
          <w:tab w:val="left" w:pos="1620"/>
        </w:tabs>
        <w:spacing w:line="360" w:lineRule="auto"/>
        <w:ind w:firstLine="480" w:firstLineChars="200"/>
        <w:rPr>
          <w:rFonts w:ascii="宋体" w:hAnsi="宋体" w:cs="宋体"/>
          <w:color w:val="auto"/>
          <w:sz w:val="24"/>
        </w:rPr>
      </w:pPr>
      <w:r>
        <w:rPr>
          <w:rFonts w:hint="eastAsia" w:ascii="宋体" w:hAnsi="宋体" w:cs="宋体"/>
          <w:color w:val="auto"/>
          <w:sz w:val="24"/>
        </w:rPr>
        <w:t>3.磋商小组认为竞标人的报价明显低于其他通过符合性审查竞标人的报价，有可能影响服务质量或者不能诚信履约的，应当要求其在评标现场合理的时间内提供书面说明，必要时提交相关证明材料；竞标人不能证明其报价合理性的，磋商小组应当将其作为无效竞标处理。</w:t>
      </w:r>
    </w:p>
    <w:p>
      <w:pPr>
        <w:tabs>
          <w:tab w:val="left" w:pos="180"/>
          <w:tab w:val="left" w:pos="1620"/>
        </w:tabs>
        <w:spacing w:line="360" w:lineRule="auto"/>
        <w:ind w:firstLine="480" w:firstLineChars="200"/>
        <w:rPr>
          <w:rFonts w:ascii="宋体" w:hAnsi="宋体" w:cs="宋体"/>
          <w:b/>
          <w:bCs/>
          <w:color w:val="auto"/>
          <w:sz w:val="24"/>
        </w:rPr>
      </w:pPr>
      <w:r>
        <w:rPr>
          <w:rFonts w:hint="eastAsia" w:ascii="宋体" w:hAnsi="宋体" w:cs="宋体"/>
          <w:color w:val="auto"/>
          <w:sz w:val="24"/>
        </w:rPr>
        <w:t>四、采购项目需求一览表：</w:t>
      </w:r>
    </w:p>
    <w:tbl>
      <w:tblPr>
        <w:tblStyle w:val="15"/>
        <w:tblW w:w="97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5"/>
        <w:gridCol w:w="1782"/>
        <w:gridCol w:w="136"/>
        <w:gridCol w:w="807"/>
        <w:gridCol w:w="64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9795" w:type="dxa"/>
            <w:gridSpan w:val="5"/>
            <w:vAlign w:val="center"/>
          </w:tcPr>
          <w:p>
            <w:pPr>
              <w:spacing w:before="144"/>
              <w:ind w:left="119"/>
              <w:jc w:val="left"/>
              <w:rPr>
                <w:rFonts w:ascii="宋体" w:hAnsi="宋体" w:cs="宋体"/>
                <w:color w:val="auto"/>
                <w:sz w:val="24"/>
              </w:rPr>
            </w:pPr>
            <w:r>
              <w:rPr>
                <w:rFonts w:hint="eastAsia" w:ascii="宋体" w:hAnsi="宋体" w:cs="宋体"/>
                <w:color w:val="auto"/>
                <w:spacing w:val="-1"/>
                <w:sz w:val="24"/>
              </w:rPr>
              <w:t>一、采购需求表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jc w:val="center"/>
        </w:trPr>
        <w:tc>
          <w:tcPr>
            <w:tcW w:w="645" w:type="dxa"/>
            <w:vAlign w:val="center"/>
          </w:tcPr>
          <w:p>
            <w:pPr>
              <w:spacing w:before="195"/>
              <w:jc w:val="center"/>
              <w:rPr>
                <w:rFonts w:ascii="宋体" w:hAnsi="宋体" w:cs="宋体"/>
                <w:color w:val="auto"/>
                <w:sz w:val="24"/>
              </w:rPr>
            </w:pPr>
            <w:r>
              <w:rPr>
                <w:rFonts w:hint="eastAsia" w:ascii="宋体" w:hAnsi="宋体" w:cs="宋体"/>
                <w:color w:val="auto"/>
                <w:sz w:val="24"/>
              </w:rPr>
              <w:t>序号</w:t>
            </w:r>
          </w:p>
        </w:tc>
        <w:tc>
          <w:tcPr>
            <w:tcW w:w="1782" w:type="dxa"/>
            <w:vAlign w:val="center"/>
          </w:tcPr>
          <w:p>
            <w:pPr>
              <w:spacing w:before="69"/>
              <w:jc w:val="center"/>
              <w:rPr>
                <w:rFonts w:ascii="宋体" w:hAnsi="宋体" w:cs="宋体"/>
                <w:color w:val="auto"/>
                <w:sz w:val="24"/>
              </w:rPr>
            </w:pPr>
            <w:r>
              <w:rPr>
                <w:rFonts w:hint="eastAsia" w:ascii="宋体" w:hAnsi="宋体" w:cs="宋体"/>
                <w:color w:val="auto"/>
                <w:spacing w:val="-2"/>
                <w:sz w:val="24"/>
              </w:rPr>
              <w:t>标的名</w:t>
            </w:r>
            <w:r>
              <w:rPr>
                <w:rFonts w:hint="eastAsia" w:ascii="宋体" w:hAnsi="宋体" w:cs="宋体"/>
                <w:color w:val="auto"/>
                <w:spacing w:val="-1"/>
                <w:sz w:val="24"/>
              </w:rPr>
              <w:t>称</w:t>
            </w:r>
          </w:p>
        </w:tc>
        <w:tc>
          <w:tcPr>
            <w:tcW w:w="943" w:type="dxa"/>
            <w:gridSpan w:val="2"/>
            <w:vAlign w:val="center"/>
          </w:tcPr>
          <w:p>
            <w:pPr>
              <w:spacing w:before="140"/>
              <w:jc w:val="center"/>
              <w:rPr>
                <w:rFonts w:ascii="宋体" w:hAnsi="宋体" w:cs="宋体"/>
                <w:color w:val="auto"/>
                <w:sz w:val="24"/>
              </w:rPr>
            </w:pPr>
            <w:r>
              <w:rPr>
                <w:rFonts w:hint="eastAsia" w:ascii="宋体" w:hAnsi="宋体" w:cs="宋体"/>
                <w:color w:val="auto"/>
                <w:sz w:val="24"/>
              </w:rPr>
              <w:t>数量及单位</w:t>
            </w:r>
          </w:p>
        </w:tc>
        <w:tc>
          <w:tcPr>
            <w:tcW w:w="6425" w:type="dxa"/>
            <w:vAlign w:val="center"/>
          </w:tcPr>
          <w:p>
            <w:pPr>
              <w:spacing w:before="69"/>
              <w:jc w:val="center"/>
              <w:rPr>
                <w:rFonts w:ascii="宋体" w:hAnsi="宋体" w:cs="宋体"/>
                <w:color w:val="auto"/>
                <w:sz w:val="24"/>
              </w:rPr>
            </w:pPr>
            <w:r>
              <w:rPr>
                <w:rFonts w:hint="eastAsia" w:ascii="宋体" w:hAnsi="宋体" w:cs="宋体"/>
                <w:color w:val="auto"/>
                <w:spacing w:val="-1"/>
                <w:sz w:val="24"/>
              </w:rPr>
              <w:t>服务内容及技术需求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45" w:type="dxa"/>
            <w:vAlign w:val="center"/>
          </w:tcPr>
          <w:p>
            <w:pPr>
              <w:spacing w:before="68"/>
              <w:ind w:left="272"/>
              <w:rPr>
                <w:rFonts w:ascii="宋体" w:hAnsi="宋体" w:cs="宋体"/>
                <w:color w:val="auto"/>
                <w:sz w:val="24"/>
              </w:rPr>
            </w:pPr>
            <w:r>
              <w:rPr>
                <w:rFonts w:hint="eastAsia" w:ascii="宋体" w:hAnsi="宋体" w:cs="宋体"/>
                <w:color w:val="auto"/>
                <w:sz w:val="24"/>
              </w:rPr>
              <w:t>1</w:t>
            </w:r>
          </w:p>
        </w:tc>
        <w:tc>
          <w:tcPr>
            <w:tcW w:w="1782" w:type="dxa"/>
            <w:vAlign w:val="center"/>
          </w:tcPr>
          <w:p>
            <w:pPr>
              <w:snapToGrid w:val="0"/>
              <w:spacing w:before="159" w:beforeLines="50" w:line="400" w:lineRule="exact"/>
              <w:jc w:val="left"/>
              <w:rPr>
                <w:rFonts w:ascii="宋体" w:hAnsi="宋体" w:cs="宋体"/>
                <w:color w:val="auto"/>
                <w:sz w:val="24"/>
              </w:rPr>
            </w:pPr>
            <w:r>
              <w:rPr>
                <w:rFonts w:hint="eastAsia" w:ascii="宋体" w:hAnsi="宋体" w:cs="宋体"/>
                <w:color w:val="auto"/>
                <w:sz w:val="24"/>
              </w:rPr>
              <w:t>中国—东盟经贸中心线上服务平台（一期）建设项目</w:t>
            </w:r>
          </w:p>
        </w:tc>
        <w:tc>
          <w:tcPr>
            <w:tcW w:w="943" w:type="dxa"/>
            <w:gridSpan w:val="2"/>
            <w:vAlign w:val="center"/>
          </w:tcPr>
          <w:p>
            <w:pPr>
              <w:spacing w:before="68"/>
              <w:ind w:left="260"/>
              <w:rPr>
                <w:rFonts w:ascii="宋体" w:hAnsi="宋体" w:cs="宋体"/>
                <w:color w:val="auto"/>
                <w:sz w:val="24"/>
                <w:highlight w:val="none"/>
              </w:rPr>
            </w:pPr>
            <w:r>
              <w:rPr>
                <w:rFonts w:hint="eastAsia" w:ascii="宋体" w:hAnsi="宋体" w:cs="宋体"/>
                <w:color w:val="auto"/>
                <w:spacing w:val="-22"/>
                <w:sz w:val="24"/>
                <w:highlight w:val="none"/>
              </w:rPr>
              <w:t>1</w:t>
            </w:r>
            <w:r>
              <w:rPr>
                <w:rFonts w:hint="eastAsia" w:ascii="宋体" w:hAnsi="宋体" w:cs="宋体"/>
                <w:color w:val="auto"/>
                <w:spacing w:val="-21"/>
                <w:sz w:val="24"/>
                <w:highlight w:val="none"/>
              </w:rPr>
              <w:t xml:space="preserve"> 项</w:t>
            </w:r>
          </w:p>
        </w:tc>
        <w:tc>
          <w:tcPr>
            <w:tcW w:w="6425" w:type="dxa"/>
            <w:vAlign w:val="center"/>
          </w:tcPr>
          <w:p>
            <w:pPr>
              <w:numPr>
                <w:ilvl w:val="0"/>
                <w:numId w:val="0"/>
              </w:numPr>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采购内容：</w:t>
            </w:r>
            <w:bookmarkStart w:id="28" w:name="OLE_LINK7"/>
            <w:r>
              <w:rPr>
                <w:rFonts w:hint="default" w:ascii="Times New Roman" w:hAnsi="Times New Roman" w:eastAsia="宋体" w:cs="Times New Roman"/>
                <w:color w:val="auto"/>
                <w:sz w:val="24"/>
                <w:szCs w:val="24"/>
                <w:highlight w:val="none"/>
                <w:lang w:val="en-US" w:eastAsia="zh-CN"/>
              </w:rPr>
              <w:t>“中国—东盟经贸通”公共服务线上平台</w:t>
            </w:r>
            <w:bookmarkEnd w:id="28"/>
            <w:r>
              <w:rPr>
                <w:rFonts w:hint="default" w:ascii="Times New Roman" w:hAnsi="Times New Roman" w:eastAsia="宋体" w:cs="Times New Roman"/>
                <w:color w:val="auto"/>
                <w:sz w:val="24"/>
                <w:szCs w:val="24"/>
                <w:highlight w:val="none"/>
                <w:shd w:val="clear"/>
                <w:lang w:eastAsia="zh-CN"/>
              </w:rPr>
              <w:t>（一期）</w:t>
            </w:r>
            <w:r>
              <w:rPr>
                <w:rFonts w:hint="eastAsia" w:ascii="宋体" w:hAnsi="宋体" w:eastAsia="宋体" w:cs="宋体"/>
                <w:color w:val="auto"/>
                <w:sz w:val="24"/>
                <w:szCs w:val="24"/>
                <w:highlight w:val="none"/>
                <w:shd w:val="clear"/>
                <w:lang w:eastAsia="zh-CN"/>
              </w:rPr>
              <w:t>建设项目</w:t>
            </w:r>
            <w:r>
              <w:rPr>
                <w:rFonts w:hint="eastAsia" w:ascii="宋体" w:hAnsi="宋体" w:eastAsia="宋体" w:cs="宋体"/>
                <w:color w:val="auto"/>
                <w:sz w:val="24"/>
                <w:szCs w:val="24"/>
                <w:highlight w:val="none"/>
                <w:lang w:val="en-US" w:eastAsia="zh-CN"/>
              </w:rPr>
              <w:t>。</w:t>
            </w:r>
          </w:p>
          <w:p>
            <w:pPr>
              <w:numPr>
                <w:ilvl w:val="0"/>
                <w:numId w:val="0"/>
              </w:numPr>
              <w:ind w:firstLine="480" w:firstLineChars="200"/>
              <w:jc w:val="left"/>
              <w:rPr>
                <w:rFonts w:ascii="宋体" w:hAnsi="宋体" w:cs="宋体"/>
                <w:color w:val="auto"/>
                <w:sz w:val="24"/>
                <w:highlight w:val="none"/>
              </w:rPr>
            </w:pPr>
            <w:r>
              <w:rPr>
                <w:rFonts w:hint="eastAsia" w:ascii="宋体" w:hAnsi="宋体" w:cs="宋体"/>
                <w:color w:val="auto"/>
                <w:sz w:val="24"/>
                <w:highlight w:val="none"/>
              </w:rPr>
              <w:t>2.项目总体完成时间：202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日前</w:t>
            </w:r>
          </w:p>
          <w:p>
            <w:pPr>
              <w:ind w:firstLine="480" w:firstLineChars="200"/>
              <w:jc w:val="left"/>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 xml:space="preserve">服务内容及目标  </w:t>
            </w:r>
          </w:p>
          <w:p>
            <w:pPr>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核心功能：完成平台系统底座、供需信息大厅、政策查询模块、活动报名管理、客户管理（CRM）系统、外贸综合服务平台接入、企业出海服务包服务及基础技术维护功能的开发与部署；方案充分理解中国—东盟经贸中心业务模块及平台建设总体述求；满足一期建设需求清单，并预留接口外链后期服务，各板块设置内容符合中国—东盟经贸中心业务逻辑诉求；版面设计美观便捷实用。</w:t>
            </w:r>
          </w:p>
          <w:p>
            <w:pPr>
              <w:ind w:firstLine="480" w:firstLineChars="200"/>
              <w:jc w:val="left"/>
              <w:rPr>
                <w:rFonts w:ascii="宋体" w:hAnsi="宋体" w:cs="宋体"/>
                <w:color w:val="auto"/>
                <w:sz w:val="24"/>
                <w:highlight w:val="none"/>
              </w:rPr>
            </w:pPr>
            <w:r>
              <w:rPr>
                <w:rFonts w:hint="eastAsia" w:ascii="宋体" w:hAnsi="宋体" w:cs="宋体"/>
                <w:color w:val="auto"/>
                <w:sz w:val="24"/>
                <w:highlight w:val="none"/>
              </w:rPr>
              <w:t>（2）适配性要求：预留二期、三期拟建设功能的后续拓展接口，确保系统具备良好的可迭代性。</w:t>
            </w:r>
          </w:p>
          <w:p>
            <w:pPr>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（3）技术要求：架构稳定可靠，数据安全方案完善，建立完善的应急响应机制，确保系统稳定运转。</w:t>
            </w:r>
          </w:p>
          <w:p>
            <w:pPr>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（4）验收标准：功能覆盖符合首期建设需求，系统运行稳定，无重大技术漏洞，能支撑企业基础跨境服务需求。</w:t>
            </w:r>
          </w:p>
          <w:p>
            <w:pPr>
              <w:ind w:firstLine="480" w:firstLineChars="200"/>
              <w:jc w:val="left"/>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（5）本项目为</w:t>
            </w:r>
            <w:r>
              <w:rPr>
                <w:rFonts w:hint="default" w:ascii="宋体" w:hAnsi="宋体" w:cs="宋体"/>
                <w:color w:val="auto"/>
                <w:sz w:val="24"/>
                <w:highlight w:val="none"/>
                <w:lang w:val="en-US" w:eastAsia="zh-CN"/>
              </w:rPr>
              <w:t>“中国—东盟经贸通”公共服务</w:t>
            </w:r>
            <w:r>
              <w:rPr>
                <w:rFonts w:hint="eastAsia" w:ascii="宋体" w:hAnsi="宋体" w:cs="宋体"/>
                <w:color w:val="auto"/>
                <w:sz w:val="24"/>
                <w:highlight w:val="none"/>
                <w:lang w:val="en-US" w:eastAsia="zh-CN"/>
              </w:rPr>
              <w:t>线上服务平台开发（一期），远期同步规划数字学院、东盟经贸垂类大模型建设，核心依托人工智能应用；供应商应在响应文件中提供人工智能技术应用方案，涵盖AI在智能咨询、供需匹配、多语种服务等模块的具体应用场景、技术实现路径及迭代规划。磋商小组将根据方案的完整性、可行性与创新性进行评分，以保障平台建设及后续迭代质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9795" w:type="dxa"/>
            <w:gridSpan w:val="5"/>
            <w:vAlign w:val="center"/>
          </w:tcPr>
          <w:p>
            <w:pPr>
              <w:spacing w:before="145"/>
              <w:ind w:left="119"/>
              <w:jc w:val="left"/>
              <w:rPr>
                <w:rFonts w:ascii="宋体" w:hAnsi="宋体" w:cs="宋体"/>
                <w:color w:val="auto"/>
                <w:sz w:val="24"/>
              </w:rPr>
            </w:pPr>
            <w:r>
              <w:rPr>
                <w:rFonts w:hint="eastAsia" w:ascii="宋体" w:hAnsi="宋体" w:cs="宋体"/>
                <w:color w:val="auto"/>
                <w:spacing w:val="-2"/>
                <w:sz w:val="24"/>
              </w:rPr>
              <w:t>二、商</w:t>
            </w:r>
            <w:r>
              <w:rPr>
                <w:rFonts w:hint="eastAsia" w:ascii="宋体" w:hAnsi="宋体" w:cs="宋体"/>
                <w:color w:val="auto"/>
                <w:spacing w:val="-1"/>
                <w:sz w:val="24"/>
              </w:rPr>
              <w:t>务要求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2563" w:type="dxa"/>
            <w:gridSpan w:val="3"/>
            <w:vAlign w:val="center"/>
          </w:tcPr>
          <w:p>
            <w:pPr>
              <w:spacing w:before="168"/>
              <w:jc w:val="center"/>
              <w:rPr>
                <w:rFonts w:ascii="宋体" w:hAnsi="宋体" w:cs="宋体"/>
                <w:color w:val="auto"/>
                <w:sz w:val="24"/>
              </w:rPr>
            </w:pPr>
            <w:r>
              <w:rPr>
                <w:rFonts w:hint="eastAsia" w:ascii="宋体" w:hAnsi="宋体" w:cs="宋体"/>
                <w:color w:val="auto"/>
                <w:spacing w:val="-2"/>
                <w:sz w:val="24"/>
              </w:rPr>
              <w:t>采</w:t>
            </w:r>
            <w:r>
              <w:rPr>
                <w:rFonts w:hint="eastAsia" w:ascii="宋体" w:hAnsi="宋体" w:cs="宋体"/>
                <w:color w:val="auto"/>
                <w:spacing w:val="-1"/>
                <w:sz w:val="24"/>
              </w:rPr>
              <w:t>购上限价</w:t>
            </w:r>
          </w:p>
        </w:tc>
        <w:tc>
          <w:tcPr>
            <w:tcW w:w="7232" w:type="dxa"/>
            <w:gridSpan w:val="2"/>
            <w:vAlign w:val="center"/>
          </w:tcPr>
          <w:p>
            <w:pPr>
              <w:ind w:firstLine="416" w:firstLineChars="200"/>
              <w:jc w:val="left"/>
              <w:rPr>
                <w:rFonts w:ascii="宋体" w:hAnsi="宋体" w:cs="宋体"/>
                <w:color w:val="auto"/>
                <w:sz w:val="24"/>
                <w:highlight w:val="none"/>
              </w:rPr>
            </w:pPr>
            <w:bookmarkStart w:id="29" w:name="OLE_LINK103"/>
            <w:bookmarkStart w:id="30" w:name="OLE_LINK102"/>
            <w:r>
              <w:rPr>
                <w:rFonts w:hint="eastAsia" w:ascii="宋体" w:hAnsi="宋体" w:cs="宋体"/>
                <w:color w:val="auto"/>
                <w:spacing w:val="-16"/>
                <w:sz w:val="24"/>
                <w:highlight w:val="none"/>
              </w:rPr>
              <w:t>人民</w:t>
            </w:r>
            <w:bookmarkStart w:id="31" w:name="OLE_LINK101"/>
            <w:r>
              <w:rPr>
                <w:rFonts w:hint="eastAsia" w:ascii="宋体" w:hAnsi="宋体" w:cs="宋体"/>
                <w:color w:val="auto"/>
                <w:spacing w:val="-16"/>
                <w:sz w:val="24"/>
                <w:highlight w:val="none"/>
              </w:rPr>
              <w:t>币</w:t>
            </w:r>
            <w:r>
              <w:rPr>
                <w:rFonts w:hint="eastAsia" w:ascii="Times New Roman Regular" w:hAnsi="Times New Roman Regular" w:cs="Times New Roman Regular"/>
                <w:color w:val="auto"/>
                <w:spacing w:val="-16"/>
                <w:sz w:val="24"/>
                <w:highlight w:val="none"/>
                <w:lang w:val="en-US" w:eastAsia="zh-CN"/>
              </w:rPr>
              <w:t>198000</w:t>
            </w:r>
            <w:r>
              <w:rPr>
                <w:rFonts w:hint="eastAsia" w:ascii="宋体" w:hAnsi="宋体" w:cs="宋体"/>
                <w:color w:val="auto"/>
                <w:spacing w:val="-16"/>
                <w:sz w:val="24"/>
                <w:highlight w:val="none"/>
              </w:rPr>
              <w:t>元</w:t>
            </w:r>
            <w:bookmarkEnd w:id="31"/>
            <w:r>
              <w:rPr>
                <w:rFonts w:hint="eastAsia" w:ascii="宋体" w:hAnsi="宋体" w:cs="宋体"/>
                <w:color w:val="auto"/>
                <w:spacing w:val="-16"/>
                <w:sz w:val="24"/>
                <w:highlight w:val="none"/>
              </w:rPr>
              <w:t>。</w:t>
            </w:r>
            <w:bookmarkEnd w:id="29"/>
            <w:bookmarkEnd w:id="30"/>
            <w:r>
              <w:rPr>
                <w:rFonts w:hint="eastAsia" w:ascii="宋体" w:hAnsi="宋体" w:cs="宋体"/>
                <w:color w:val="auto"/>
                <w:sz w:val="24"/>
                <w:highlight w:val="none"/>
              </w:rPr>
              <w:t>磋商报价超采购上限价的，磋商报价无效</w:t>
            </w:r>
            <w:r>
              <w:rPr>
                <w:rFonts w:hint="eastAsia" w:ascii="宋体" w:hAnsi="宋体" w:cs="宋体"/>
                <w:color w:val="auto"/>
                <w:spacing w:val="-16"/>
                <w:sz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5" w:hRule="atLeast"/>
          <w:jc w:val="center"/>
        </w:trPr>
        <w:tc>
          <w:tcPr>
            <w:tcW w:w="2563" w:type="dxa"/>
            <w:gridSpan w:val="3"/>
            <w:vMerge w:val="restart"/>
            <w:vAlign w:val="center"/>
          </w:tcPr>
          <w:p>
            <w:pPr>
              <w:spacing w:before="68"/>
              <w:jc w:val="center"/>
              <w:rPr>
                <w:rFonts w:ascii="宋体" w:hAnsi="宋体" w:cs="宋体"/>
                <w:color w:val="auto"/>
                <w:sz w:val="24"/>
              </w:rPr>
            </w:pPr>
            <w:r>
              <w:rPr>
                <w:rFonts w:hint="eastAsia" w:ascii="宋体" w:hAnsi="宋体" w:cs="宋体"/>
                <w:color w:val="auto"/>
                <w:spacing w:val="-2"/>
                <w:sz w:val="24"/>
              </w:rPr>
              <w:t>磋商</w:t>
            </w:r>
            <w:r>
              <w:rPr>
                <w:rFonts w:hint="eastAsia" w:ascii="宋体" w:hAnsi="宋体" w:cs="宋体"/>
                <w:color w:val="auto"/>
                <w:spacing w:val="-1"/>
                <w:sz w:val="24"/>
              </w:rPr>
              <w:t>报价</w:t>
            </w:r>
          </w:p>
        </w:tc>
        <w:tc>
          <w:tcPr>
            <w:tcW w:w="7232" w:type="dxa"/>
            <w:gridSpan w:val="2"/>
            <w:vAlign w:val="center"/>
          </w:tcPr>
          <w:p>
            <w:pPr>
              <w:ind w:firstLine="468" w:firstLineChars="200"/>
              <w:jc w:val="left"/>
              <w:rPr>
                <w:rFonts w:ascii="宋体" w:hAnsi="宋体" w:cs="宋体"/>
                <w:color w:val="auto"/>
                <w:spacing w:val="5"/>
                <w:sz w:val="24"/>
              </w:rPr>
            </w:pPr>
            <w:r>
              <w:rPr>
                <w:rFonts w:hint="eastAsia" w:ascii="宋体" w:hAnsi="宋体" w:cs="宋体"/>
                <w:color w:val="auto"/>
                <w:spacing w:val="-3"/>
                <w:sz w:val="24"/>
              </w:rPr>
              <w:t>本项目磋商报价必须包含但不限于以下费用</w:t>
            </w:r>
            <w:r>
              <w:rPr>
                <w:rFonts w:hint="eastAsia" w:ascii="宋体" w:hAnsi="宋体" w:cs="宋体"/>
                <w:color w:val="auto"/>
                <w:spacing w:val="-1"/>
                <w:sz w:val="24"/>
              </w:rPr>
              <w:t>：</w:t>
            </w:r>
          </w:p>
          <w:p>
            <w:pPr>
              <w:ind w:firstLine="500" w:firstLineChars="200"/>
              <w:jc w:val="left"/>
              <w:rPr>
                <w:rFonts w:ascii="宋体" w:hAnsi="宋体" w:cs="宋体"/>
                <w:color w:val="auto"/>
                <w:spacing w:val="-13"/>
                <w:sz w:val="24"/>
              </w:rPr>
            </w:pPr>
            <w:r>
              <w:rPr>
                <w:rFonts w:hint="eastAsia" w:ascii="宋体" w:hAnsi="宋体" w:cs="宋体"/>
                <w:color w:val="auto"/>
                <w:spacing w:val="5"/>
                <w:sz w:val="24"/>
              </w:rPr>
              <w:t>1.完成采</w:t>
            </w:r>
            <w:r>
              <w:rPr>
                <w:rFonts w:hint="eastAsia" w:ascii="宋体" w:hAnsi="宋体" w:cs="宋体"/>
                <w:color w:val="auto"/>
                <w:spacing w:val="5"/>
                <w:sz w:val="24"/>
                <w:highlight w:val="none"/>
              </w:rPr>
              <w:t>购人指定服务内容的基本费用(包含</w:t>
            </w:r>
            <w:bookmarkStart w:id="32" w:name="OLE_LINK105"/>
            <w:bookmarkStart w:id="33" w:name="OLE_LINK104"/>
            <w:r>
              <w:rPr>
                <w:rFonts w:hint="eastAsia" w:ascii="宋体" w:hAnsi="宋体" w:cs="宋体"/>
                <w:color w:val="auto"/>
                <w:spacing w:val="5"/>
                <w:sz w:val="24"/>
                <w:highlight w:val="none"/>
              </w:rPr>
              <w:t>完成平台系统底座、供需信息大厅、政策查询模块、活动报名管理、客户管理（CRM）系统、外贸综合服务平台接入、企业出海服务包服务及基础技术维护功能的开发与部署；方案</w:t>
            </w:r>
            <w:r>
              <w:rPr>
                <w:rFonts w:hint="eastAsia" w:ascii="宋体" w:hAnsi="宋体" w:cs="宋体"/>
                <w:color w:val="auto"/>
                <w:spacing w:val="5"/>
                <w:sz w:val="24"/>
              </w:rPr>
              <w:t>充分理解中国—东盟经贸中心业务模块及平台建设总体述求；满足一期建设需求清单，并预留接口外链后期服务，各板块设置内容符合中国—东盟经贸中心业务逻辑诉求；版面设计美观便捷实用等</w:t>
            </w:r>
            <w:r>
              <w:rPr>
                <w:rFonts w:hint="eastAsia" w:ascii="宋体" w:hAnsi="宋体" w:cs="宋体"/>
                <w:color w:val="auto"/>
                <w:spacing w:val="-13"/>
                <w:sz w:val="24"/>
              </w:rPr>
              <w:t>)；</w:t>
            </w:r>
            <w:bookmarkEnd w:id="32"/>
            <w:bookmarkEnd w:id="33"/>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2563" w:type="dxa"/>
            <w:gridSpan w:val="3"/>
            <w:vMerge w:val="continue"/>
            <w:vAlign w:val="center"/>
          </w:tcPr>
          <w:p>
            <w:pPr>
              <w:jc w:val="center"/>
              <w:rPr>
                <w:rFonts w:ascii="宋体" w:hAnsi="宋体" w:cs="宋体"/>
                <w:color w:val="auto"/>
                <w:sz w:val="24"/>
              </w:rPr>
            </w:pPr>
            <w:bookmarkStart w:id="34" w:name="_Hlk177805895"/>
            <w:bookmarkStart w:id="35" w:name="OLE_LINK112" w:colFirst="0" w:colLast="1"/>
            <w:bookmarkStart w:id="36" w:name="OLE_LINK115" w:colFirst="0" w:colLast="1"/>
            <w:bookmarkStart w:id="37" w:name="OLE_LINK111" w:colFirst="0" w:colLast="1"/>
            <w:bookmarkStart w:id="38" w:name="OLE_LINK116" w:colFirst="0" w:colLast="1"/>
          </w:p>
        </w:tc>
        <w:tc>
          <w:tcPr>
            <w:tcW w:w="7232" w:type="dxa"/>
            <w:gridSpan w:val="2"/>
            <w:vAlign w:val="center"/>
          </w:tcPr>
          <w:p>
            <w:pPr>
              <w:tabs>
                <w:tab w:val="left" w:pos="222"/>
              </w:tabs>
              <w:ind w:firstLine="496" w:firstLineChars="200"/>
              <w:jc w:val="left"/>
              <w:rPr>
                <w:rFonts w:ascii="宋体" w:hAnsi="宋体" w:cs="宋体"/>
                <w:color w:val="auto"/>
                <w:sz w:val="24"/>
              </w:rPr>
            </w:pPr>
            <w:r>
              <w:rPr>
                <w:rFonts w:hint="eastAsia" w:ascii="宋体" w:hAnsi="宋体" w:cs="宋体"/>
                <w:color w:val="auto"/>
                <w:spacing w:val="4"/>
                <w:sz w:val="24"/>
              </w:rPr>
              <w:t>2.</w:t>
            </w:r>
            <w:r>
              <w:rPr>
                <w:rFonts w:hint="eastAsia" w:ascii="宋体" w:hAnsi="宋体" w:cs="宋体"/>
                <w:color w:val="auto"/>
                <w:spacing w:val="2"/>
                <w:sz w:val="24"/>
              </w:rPr>
              <w:t>其他费用(包括但不限于知识产权、技术支持、售后服务等费用)，必要</w:t>
            </w:r>
            <w:r>
              <w:rPr>
                <w:rFonts w:hint="eastAsia" w:ascii="宋体" w:hAnsi="宋体" w:cs="宋体"/>
                <w:color w:val="auto"/>
                <w:spacing w:val="-2"/>
                <w:sz w:val="24"/>
              </w:rPr>
              <w:t>的保险费用和各项税费等一切完成本项目服务所需要的费用。</w:t>
            </w:r>
          </w:p>
          <w:p>
            <w:pPr>
              <w:tabs>
                <w:tab w:val="left" w:pos="222"/>
              </w:tabs>
              <w:ind w:firstLine="448" w:firstLineChars="200"/>
              <w:jc w:val="left"/>
              <w:rPr>
                <w:rFonts w:ascii="宋体" w:hAnsi="宋体" w:cs="宋体"/>
                <w:color w:val="auto"/>
                <w:sz w:val="24"/>
              </w:rPr>
            </w:pPr>
            <w:r>
              <w:rPr>
                <w:rFonts w:hint="eastAsia" w:ascii="宋体" w:hAnsi="宋体" w:cs="宋体"/>
                <w:color w:val="auto"/>
                <w:spacing w:val="-8"/>
                <w:sz w:val="24"/>
              </w:rPr>
              <w:t>(</w:t>
            </w:r>
            <w:r>
              <w:rPr>
                <w:rFonts w:hint="eastAsia" w:ascii="宋体" w:hAnsi="宋体" w:cs="宋体"/>
                <w:color w:val="auto"/>
                <w:spacing w:val="-7"/>
                <w:sz w:val="24"/>
              </w:rPr>
              <w:t>注</w:t>
            </w:r>
            <w:r>
              <w:rPr>
                <w:rFonts w:hint="eastAsia" w:ascii="宋体" w:hAnsi="宋体" w:cs="宋体"/>
                <w:color w:val="auto"/>
                <w:spacing w:val="-4"/>
                <w:sz w:val="24"/>
              </w:rPr>
              <w:t>： 以上，磋商竞标人应充分考虑项目实施期间的各类风险系数进行报价，否</w:t>
            </w:r>
            <w:r>
              <w:rPr>
                <w:rFonts w:hint="eastAsia" w:ascii="宋体" w:hAnsi="宋体" w:cs="宋体"/>
                <w:color w:val="auto"/>
                <w:spacing w:val="-2"/>
                <w:sz w:val="24"/>
              </w:rPr>
              <w:t>则</w:t>
            </w:r>
            <w:r>
              <w:rPr>
                <w:rFonts w:hint="eastAsia" w:ascii="宋体" w:hAnsi="宋体" w:cs="宋体"/>
                <w:color w:val="auto"/>
                <w:spacing w:val="-1"/>
                <w:sz w:val="24"/>
              </w:rPr>
              <w:t>，采购人将不予支付竞标人没有列入的项目费用，并认为此项目的费用已</w:t>
            </w:r>
            <w:r>
              <w:rPr>
                <w:rFonts w:hint="eastAsia" w:ascii="宋体" w:hAnsi="宋体" w:cs="宋体"/>
                <w:color w:val="auto"/>
                <w:spacing w:val="-17"/>
                <w:sz w:val="24"/>
              </w:rPr>
              <w:t>包</w:t>
            </w:r>
            <w:r>
              <w:rPr>
                <w:rFonts w:hint="eastAsia" w:ascii="宋体" w:hAnsi="宋体" w:cs="宋体"/>
                <w:color w:val="auto"/>
                <w:spacing w:val="-13"/>
                <w:sz w:val="24"/>
              </w:rPr>
              <w:t>括在总报价中。)</w:t>
            </w:r>
          </w:p>
          <w:p>
            <w:pPr>
              <w:tabs>
                <w:tab w:val="left" w:pos="222"/>
              </w:tabs>
              <w:ind w:firstLine="476" w:firstLineChars="200"/>
              <w:jc w:val="left"/>
              <w:rPr>
                <w:rFonts w:ascii="宋体" w:hAnsi="宋体" w:cs="宋体"/>
                <w:color w:val="auto"/>
                <w:sz w:val="24"/>
              </w:rPr>
            </w:pPr>
            <w:r>
              <w:rPr>
                <w:rFonts w:hint="eastAsia" w:ascii="宋体" w:hAnsi="宋体" w:cs="宋体"/>
                <w:color w:val="auto"/>
                <w:spacing w:val="-1"/>
                <w:sz w:val="24"/>
              </w:rPr>
              <w:t>3.为了确保采购质量和维护公平的竞争，确保竞标人正常履行合同，</w:t>
            </w:r>
            <w:r>
              <w:rPr>
                <w:rFonts w:hint="eastAsia" w:ascii="宋体" w:hAnsi="宋体" w:cs="宋体"/>
                <w:color w:val="auto"/>
                <w:spacing w:val="2"/>
                <w:sz w:val="24"/>
              </w:rPr>
              <w:t>采购人不接受竞标人的恶意低价竞争。磋商小组认为磋商竞标人的报价明显</w:t>
            </w:r>
            <w:r>
              <w:rPr>
                <w:rFonts w:hint="eastAsia" w:ascii="宋体" w:hAnsi="宋体" w:cs="宋体"/>
                <w:color w:val="auto"/>
                <w:spacing w:val="-7"/>
                <w:sz w:val="24"/>
              </w:rPr>
              <w:t>低于其他通过资格、符合性审查磋商竞标人的报价，有可能影响服务成果质量或</w:t>
            </w:r>
            <w:r>
              <w:rPr>
                <w:rFonts w:hint="eastAsia" w:ascii="宋体" w:hAnsi="宋体" w:cs="宋体"/>
                <w:color w:val="auto"/>
                <w:spacing w:val="-2"/>
                <w:sz w:val="24"/>
              </w:rPr>
              <w:t>者</w:t>
            </w:r>
            <w:r>
              <w:rPr>
                <w:rFonts w:hint="eastAsia" w:ascii="宋体" w:hAnsi="宋体" w:cs="宋体"/>
                <w:color w:val="auto"/>
                <w:spacing w:val="-18"/>
                <w:sz w:val="24"/>
              </w:rPr>
              <w:t>不能</w:t>
            </w:r>
            <w:r>
              <w:rPr>
                <w:rFonts w:hint="eastAsia" w:ascii="宋体" w:hAnsi="宋体" w:cs="宋体"/>
                <w:color w:val="auto"/>
                <w:spacing w:val="-12"/>
                <w:sz w:val="24"/>
              </w:rPr>
              <w:t>诚</w:t>
            </w:r>
            <w:r>
              <w:rPr>
                <w:rFonts w:hint="eastAsia" w:ascii="宋体" w:hAnsi="宋体" w:cs="宋体"/>
                <w:color w:val="auto"/>
                <w:spacing w:val="-9"/>
                <w:sz w:val="24"/>
              </w:rPr>
              <w:t>信履约的，应当要求其在磋商现场合理的时间内提供书面说明，必要时</w:t>
            </w:r>
            <w:r>
              <w:rPr>
                <w:rFonts w:hint="eastAsia" w:ascii="宋体" w:hAnsi="宋体" w:cs="宋体"/>
                <w:color w:val="auto"/>
                <w:spacing w:val="-7"/>
                <w:sz w:val="24"/>
              </w:rPr>
              <w:t>提交相关证明材料，包括但不限于为完成项目的人员数量及其工作时间、项</w:t>
            </w:r>
            <w:r>
              <w:rPr>
                <w:rFonts w:hint="eastAsia" w:ascii="宋体" w:hAnsi="宋体" w:cs="宋体"/>
                <w:color w:val="auto"/>
                <w:spacing w:val="-2"/>
                <w:sz w:val="24"/>
              </w:rPr>
              <w:t>目</w:t>
            </w:r>
            <w:r>
              <w:rPr>
                <w:rFonts w:hint="eastAsia" w:ascii="宋体" w:hAnsi="宋体" w:cs="宋体"/>
                <w:color w:val="auto"/>
                <w:spacing w:val="4"/>
                <w:sz w:val="24"/>
              </w:rPr>
              <w:t>人员的</w:t>
            </w:r>
            <w:r>
              <w:rPr>
                <w:rFonts w:hint="eastAsia" w:ascii="宋体" w:hAnsi="宋体" w:cs="宋体"/>
                <w:color w:val="auto"/>
                <w:spacing w:val="2"/>
                <w:sz w:val="24"/>
              </w:rPr>
              <w:t>工资支出以及项目实施过程中可能涉及的其他费用等，磋商竞标人不能证</w:t>
            </w:r>
            <w:r>
              <w:rPr>
                <w:rFonts w:hint="eastAsia" w:ascii="宋体" w:hAnsi="宋体" w:cs="宋体"/>
                <w:color w:val="auto"/>
                <w:spacing w:val="-4"/>
                <w:sz w:val="24"/>
              </w:rPr>
              <w:t>明其</w:t>
            </w:r>
            <w:r>
              <w:rPr>
                <w:rFonts w:hint="eastAsia" w:ascii="宋体" w:hAnsi="宋体" w:cs="宋体"/>
                <w:color w:val="auto"/>
                <w:spacing w:val="-3"/>
                <w:sz w:val="24"/>
              </w:rPr>
              <w:t>报</w:t>
            </w:r>
            <w:r>
              <w:rPr>
                <w:rFonts w:hint="eastAsia" w:ascii="宋体" w:hAnsi="宋体" w:cs="宋体"/>
                <w:color w:val="auto"/>
                <w:spacing w:val="-2"/>
                <w:sz w:val="24"/>
              </w:rPr>
              <w:t>价合理性的，磋商小组应当将其作为无效投标处理。</w:t>
            </w:r>
          </w:p>
        </w:tc>
      </w:tr>
      <w:bookmarkEnd w:id="34"/>
      <w:bookmarkEnd w:id="35"/>
      <w:bookmarkEnd w:id="36"/>
      <w:bookmarkEnd w:id="37"/>
      <w:bookmarkEnd w:id="38"/>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jc w:val="center"/>
        </w:trPr>
        <w:tc>
          <w:tcPr>
            <w:tcW w:w="2563" w:type="dxa"/>
            <w:gridSpan w:val="3"/>
            <w:vAlign w:val="center"/>
          </w:tcPr>
          <w:p>
            <w:pPr>
              <w:spacing w:before="167"/>
              <w:jc w:val="center"/>
              <w:rPr>
                <w:rFonts w:ascii="宋体" w:hAnsi="宋体" w:cs="宋体"/>
                <w:color w:val="auto"/>
                <w:sz w:val="24"/>
              </w:rPr>
            </w:pPr>
            <w:r>
              <w:rPr>
                <w:rFonts w:hint="eastAsia" w:ascii="宋体" w:hAnsi="宋体" w:cs="宋体"/>
                <w:color w:val="auto"/>
                <w:spacing w:val="-2"/>
                <w:sz w:val="24"/>
              </w:rPr>
              <w:t>合同履行期限</w:t>
            </w:r>
          </w:p>
        </w:tc>
        <w:tc>
          <w:tcPr>
            <w:tcW w:w="7232" w:type="dxa"/>
            <w:gridSpan w:val="2"/>
            <w:vAlign w:val="center"/>
          </w:tcPr>
          <w:p>
            <w:pPr>
              <w:ind w:firstLine="480" w:firstLineChars="200"/>
              <w:jc w:val="left"/>
              <w:rPr>
                <w:rFonts w:ascii="宋体" w:hAnsi="宋体" w:cs="宋体"/>
                <w:color w:val="auto"/>
                <w:sz w:val="24"/>
              </w:rPr>
            </w:pPr>
            <w:r>
              <w:rPr>
                <w:rFonts w:hint="eastAsia" w:ascii="宋体" w:hAnsi="宋体" w:cs="宋体"/>
                <w:color w:val="auto"/>
                <w:sz w:val="24"/>
                <w:highlight w:val="none"/>
                <w:lang w:val="en-US" w:eastAsia="zh-CN"/>
              </w:rPr>
              <w:t>自本合同签订之日起计算，为期一年。</w:t>
            </w:r>
            <w:r>
              <w:rPr>
                <w:rFonts w:hint="default" w:ascii="宋体" w:hAnsi="宋体" w:cs="宋体"/>
                <w:color w:val="auto"/>
                <w:sz w:val="24"/>
                <w:highlight w:val="none"/>
                <w:lang w:val="en-US" w:eastAsia="zh-CN"/>
              </w:rPr>
              <w:t>（即自签订之日起至届满之日前一日止，具体以签订日期为准）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jc w:val="center"/>
        </w:trPr>
        <w:tc>
          <w:tcPr>
            <w:tcW w:w="2563" w:type="dxa"/>
            <w:gridSpan w:val="3"/>
            <w:vAlign w:val="center"/>
          </w:tcPr>
          <w:p>
            <w:pPr>
              <w:spacing w:before="167"/>
              <w:jc w:val="center"/>
              <w:rPr>
                <w:rFonts w:ascii="宋体" w:hAnsi="宋体" w:cs="宋体"/>
                <w:color w:val="auto"/>
                <w:spacing w:val="-2"/>
                <w:sz w:val="24"/>
              </w:rPr>
            </w:pPr>
            <w:r>
              <w:rPr>
                <w:rFonts w:hint="eastAsia" w:ascii="宋体" w:hAnsi="宋体" w:cs="宋体"/>
                <w:color w:val="auto"/>
                <w:spacing w:val="-2"/>
                <w:sz w:val="24"/>
              </w:rPr>
              <w:t>合同签订期</w:t>
            </w:r>
          </w:p>
        </w:tc>
        <w:tc>
          <w:tcPr>
            <w:tcW w:w="7232" w:type="dxa"/>
            <w:gridSpan w:val="2"/>
            <w:vAlign w:val="center"/>
          </w:tcPr>
          <w:p>
            <w:pPr>
              <w:ind w:firstLine="472" w:firstLineChars="200"/>
              <w:jc w:val="left"/>
              <w:rPr>
                <w:rFonts w:ascii="宋体" w:hAnsi="宋体" w:cs="宋体"/>
                <w:color w:val="auto"/>
                <w:spacing w:val="-2"/>
                <w:sz w:val="24"/>
              </w:rPr>
            </w:pPr>
            <w:r>
              <w:rPr>
                <w:rFonts w:hint="eastAsia" w:ascii="宋体" w:hAnsi="宋体" w:cs="宋体"/>
                <w:color w:val="auto"/>
                <w:spacing w:val="-2"/>
                <w:sz w:val="24"/>
              </w:rPr>
              <w:t>自成交通知书发出之日起5个日历日内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2563" w:type="dxa"/>
            <w:gridSpan w:val="3"/>
            <w:vAlign w:val="center"/>
          </w:tcPr>
          <w:p>
            <w:pPr>
              <w:spacing w:before="284"/>
              <w:jc w:val="center"/>
              <w:rPr>
                <w:rFonts w:ascii="宋体" w:hAnsi="宋体" w:cs="宋体"/>
                <w:color w:val="auto"/>
                <w:sz w:val="24"/>
              </w:rPr>
            </w:pPr>
            <w:r>
              <w:rPr>
                <w:rFonts w:hint="eastAsia" w:ascii="宋体" w:hAnsi="宋体" w:cs="宋体"/>
                <w:color w:val="auto"/>
                <w:spacing w:val="-2"/>
                <w:sz w:val="24"/>
              </w:rPr>
              <w:t>质量要</w:t>
            </w:r>
            <w:r>
              <w:rPr>
                <w:rFonts w:hint="eastAsia" w:ascii="宋体" w:hAnsi="宋体" w:cs="宋体"/>
                <w:color w:val="auto"/>
                <w:spacing w:val="-1"/>
                <w:sz w:val="24"/>
              </w:rPr>
              <w:t>求</w:t>
            </w:r>
          </w:p>
        </w:tc>
        <w:tc>
          <w:tcPr>
            <w:tcW w:w="7232" w:type="dxa"/>
            <w:gridSpan w:val="2"/>
            <w:vAlign w:val="center"/>
          </w:tcPr>
          <w:p>
            <w:pPr>
              <w:ind w:firstLine="440" w:firstLineChars="200"/>
              <w:jc w:val="left"/>
              <w:rPr>
                <w:rFonts w:ascii="宋体" w:hAnsi="宋体" w:cs="宋体"/>
                <w:color w:val="auto"/>
                <w:sz w:val="24"/>
              </w:rPr>
            </w:pPr>
            <w:r>
              <w:rPr>
                <w:rFonts w:hint="eastAsia" w:ascii="宋体" w:hAnsi="宋体" w:cs="宋体"/>
                <w:color w:val="auto"/>
                <w:spacing w:val="-10"/>
                <w:sz w:val="24"/>
              </w:rPr>
              <w:t>涉</w:t>
            </w:r>
            <w:r>
              <w:rPr>
                <w:rFonts w:hint="eastAsia" w:ascii="宋体" w:hAnsi="宋体" w:cs="宋体"/>
                <w:color w:val="auto"/>
                <w:spacing w:val="-7"/>
                <w:sz w:val="24"/>
              </w:rPr>
              <w:t>及国家、行业及地方标准或者其他标准、规范的， 应执行相应的标准、规</w:t>
            </w:r>
            <w:r>
              <w:rPr>
                <w:rFonts w:hint="eastAsia" w:ascii="宋体" w:hAnsi="宋体" w:cs="宋体"/>
                <w:color w:val="auto"/>
                <w:spacing w:val="-2"/>
                <w:sz w:val="24"/>
              </w:rPr>
              <w:t>范；无标准、规范的须通过采购单位审核验收。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2563" w:type="dxa"/>
            <w:gridSpan w:val="3"/>
            <w:vAlign w:val="center"/>
          </w:tcPr>
          <w:p>
            <w:pPr>
              <w:spacing w:before="164"/>
              <w:jc w:val="center"/>
              <w:rPr>
                <w:rFonts w:ascii="宋体" w:hAnsi="宋体" w:cs="宋体"/>
                <w:color w:val="auto"/>
                <w:sz w:val="24"/>
              </w:rPr>
            </w:pPr>
            <w:r>
              <w:rPr>
                <w:rFonts w:hint="eastAsia" w:ascii="宋体" w:hAnsi="宋体" w:cs="宋体"/>
                <w:color w:val="auto"/>
                <w:spacing w:val="-2"/>
                <w:sz w:val="24"/>
              </w:rPr>
              <w:t>交货时间</w:t>
            </w:r>
            <w:r>
              <w:rPr>
                <w:rFonts w:hint="eastAsia" w:ascii="宋体" w:hAnsi="宋体" w:cs="宋体"/>
                <w:color w:val="auto"/>
                <w:spacing w:val="-1"/>
                <w:sz w:val="24"/>
              </w:rPr>
              <w:t>和地点</w:t>
            </w:r>
          </w:p>
        </w:tc>
        <w:tc>
          <w:tcPr>
            <w:tcW w:w="7232" w:type="dxa"/>
            <w:gridSpan w:val="2"/>
            <w:vAlign w:val="center"/>
          </w:tcPr>
          <w:p>
            <w:pPr>
              <w:ind w:firstLine="452" w:firstLineChars="200"/>
              <w:jc w:val="left"/>
              <w:rPr>
                <w:rFonts w:ascii="宋体" w:hAnsi="宋体" w:cs="宋体"/>
                <w:color w:val="auto"/>
                <w:sz w:val="24"/>
              </w:rPr>
            </w:pPr>
            <w:r>
              <w:rPr>
                <w:rFonts w:hint="eastAsia" w:ascii="宋体" w:hAnsi="宋体" w:cs="宋体"/>
                <w:color w:val="auto"/>
                <w:spacing w:val="-7"/>
                <w:sz w:val="24"/>
              </w:rPr>
              <w:t>采</w:t>
            </w:r>
            <w:r>
              <w:rPr>
                <w:rFonts w:hint="eastAsia" w:ascii="宋体" w:hAnsi="宋体" w:cs="宋体"/>
                <w:color w:val="auto"/>
                <w:spacing w:val="-5"/>
                <w:sz w:val="24"/>
              </w:rPr>
              <w:t>购人指定。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jc w:val="center"/>
        </w:trPr>
        <w:tc>
          <w:tcPr>
            <w:tcW w:w="2563" w:type="dxa"/>
            <w:gridSpan w:val="3"/>
            <w:vAlign w:val="center"/>
          </w:tcPr>
          <w:p>
            <w:pPr>
              <w:spacing w:before="68"/>
              <w:jc w:val="center"/>
              <w:rPr>
                <w:rFonts w:ascii="宋体" w:hAnsi="宋体" w:cs="宋体"/>
                <w:color w:val="auto"/>
                <w:sz w:val="24"/>
              </w:rPr>
            </w:pPr>
            <w:r>
              <w:rPr>
                <w:rFonts w:hint="eastAsia" w:ascii="宋体" w:hAnsi="宋体" w:cs="宋体"/>
                <w:color w:val="auto"/>
                <w:spacing w:val="-3"/>
                <w:sz w:val="24"/>
              </w:rPr>
              <w:t>支付方式</w:t>
            </w:r>
          </w:p>
        </w:tc>
        <w:tc>
          <w:tcPr>
            <w:tcW w:w="7232" w:type="dxa"/>
            <w:gridSpan w:val="2"/>
            <w:vAlign w:val="center"/>
          </w:tcPr>
          <w:p>
            <w:pPr>
              <w:ind w:firstLine="468" w:firstLineChars="200"/>
              <w:jc w:val="left"/>
              <w:rPr>
                <w:rFonts w:ascii="宋体" w:hAnsi="宋体" w:cs="宋体"/>
                <w:color w:val="auto"/>
                <w:sz w:val="24"/>
              </w:rPr>
            </w:pPr>
            <w:r>
              <w:rPr>
                <w:rFonts w:hint="eastAsia" w:ascii="宋体" w:hAnsi="宋体" w:cs="宋体"/>
                <w:color w:val="auto"/>
                <w:spacing w:val="-3"/>
                <w:sz w:val="24"/>
              </w:rPr>
              <w:t>付款方式以合同最终签订版本为准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5" w:hRule="atLeast"/>
          <w:jc w:val="center"/>
        </w:trPr>
        <w:tc>
          <w:tcPr>
            <w:tcW w:w="2563" w:type="dxa"/>
            <w:gridSpan w:val="3"/>
            <w:vAlign w:val="center"/>
          </w:tcPr>
          <w:p>
            <w:pPr>
              <w:spacing w:before="68"/>
              <w:jc w:val="center"/>
              <w:rPr>
                <w:rFonts w:ascii="宋体" w:hAnsi="宋体" w:cs="宋体"/>
                <w:color w:val="auto"/>
                <w:sz w:val="24"/>
              </w:rPr>
            </w:pPr>
            <w:r>
              <w:rPr>
                <w:rFonts w:hint="eastAsia" w:ascii="宋体" w:hAnsi="宋体" w:cs="宋体"/>
                <w:color w:val="auto"/>
                <w:spacing w:val="-1"/>
                <w:sz w:val="24"/>
              </w:rPr>
              <w:t>验收的相关注意事</w:t>
            </w:r>
            <w:r>
              <w:rPr>
                <w:rFonts w:hint="eastAsia" w:ascii="宋体" w:hAnsi="宋体" w:cs="宋体"/>
                <w:color w:val="auto"/>
                <w:sz w:val="24"/>
              </w:rPr>
              <w:t>项</w:t>
            </w:r>
          </w:p>
        </w:tc>
        <w:tc>
          <w:tcPr>
            <w:tcW w:w="7232" w:type="dxa"/>
            <w:gridSpan w:val="2"/>
            <w:vAlign w:val="center"/>
          </w:tcPr>
          <w:p>
            <w:pPr>
              <w:ind w:firstLine="448" w:firstLineChars="200"/>
              <w:jc w:val="left"/>
              <w:rPr>
                <w:rFonts w:ascii="宋体" w:hAnsi="宋体" w:cs="宋体"/>
                <w:color w:val="auto"/>
                <w:sz w:val="24"/>
              </w:rPr>
            </w:pPr>
            <w:r>
              <w:rPr>
                <w:rFonts w:hint="eastAsia" w:ascii="宋体" w:hAnsi="宋体" w:cs="宋体"/>
                <w:color w:val="auto"/>
                <w:spacing w:val="-8"/>
                <w:sz w:val="24"/>
              </w:rPr>
              <w:t>1.成交竞标人</w:t>
            </w:r>
            <w:r>
              <w:rPr>
                <w:rFonts w:hint="eastAsia" w:ascii="宋体" w:hAnsi="宋体" w:cs="宋体"/>
                <w:color w:val="auto"/>
                <w:spacing w:val="-4"/>
                <w:sz w:val="24"/>
              </w:rPr>
              <w:t>应按采购文件规定的服务内容、技术要求、质量标准向采购人提供</w:t>
            </w:r>
            <w:r>
              <w:rPr>
                <w:rFonts w:hint="eastAsia" w:ascii="宋体" w:hAnsi="宋体" w:cs="宋体"/>
                <w:color w:val="auto"/>
                <w:spacing w:val="-2"/>
                <w:sz w:val="24"/>
              </w:rPr>
              <w:t>全部服务成果；成交人</w:t>
            </w:r>
            <w:r>
              <w:rPr>
                <w:rFonts w:hint="eastAsia" w:ascii="宋体" w:hAnsi="宋体" w:cs="宋体"/>
                <w:color w:val="auto"/>
                <w:spacing w:val="-1"/>
                <w:sz w:val="24"/>
              </w:rPr>
              <w:t>对提交的最终服务成果质量负责。</w:t>
            </w:r>
          </w:p>
          <w:p>
            <w:pPr>
              <w:ind w:firstLine="496" w:firstLineChars="200"/>
              <w:jc w:val="left"/>
              <w:rPr>
                <w:rFonts w:ascii="宋体" w:hAnsi="宋体" w:cs="宋体"/>
                <w:color w:val="auto"/>
                <w:sz w:val="24"/>
              </w:rPr>
            </w:pPr>
            <w:r>
              <w:rPr>
                <w:rFonts w:hint="eastAsia" w:ascii="宋体" w:hAnsi="宋体" w:cs="宋体"/>
                <w:color w:val="auto"/>
                <w:spacing w:val="4"/>
                <w:sz w:val="24"/>
              </w:rPr>
              <w:t>2.项</w:t>
            </w:r>
            <w:r>
              <w:rPr>
                <w:rFonts w:hint="eastAsia" w:ascii="宋体" w:hAnsi="宋体" w:cs="宋体"/>
                <w:color w:val="auto"/>
                <w:spacing w:val="2"/>
                <w:sz w:val="24"/>
              </w:rPr>
              <w:t>目验收时由采购人对照采购文件、成交竞标人的响应文件等相应内容及要</w:t>
            </w:r>
            <w:r>
              <w:rPr>
                <w:rFonts w:hint="eastAsia" w:ascii="宋体" w:hAnsi="宋体" w:cs="宋体"/>
                <w:color w:val="auto"/>
                <w:spacing w:val="4"/>
                <w:sz w:val="24"/>
              </w:rPr>
              <w:t>求全面核对</w:t>
            </w:r>
            <w:r>
              <w:rPr>
                <w:rFonts w:hint="eastAsia" w:ascii="宋体" w:hAnsi="宋体" w:cs="宋体"/>
                <w:color w:val="auto"/>
                <w:spacing w:val="2"/>
                <w:sz w:val="24"/>
              </w:rPr>
              <w:t>检验，如不符合采购文件的服务内容及要求，或者提供虚假承诺</w:t>
            </w:r>
            <w:r>
              <w:rPr>
                <w:rFonts w:hint="eastAsia" w:ascii="宋体" w:hAnsi="宋体" w:cs="宋体"/>
                <w:color w:val="auto"/>
                <w:spacing w:val="-18"/>
                <w:sz w:val="24"/>
              </w:rPr>
              <w:t>的，</w:t>
            </w:r>
            <w:r>
              <w:rPr>
                <w:rFonts w:hint="eastAsia" w:ascii="宋体" w:hAnsi="宋体" w:cs="宋体"/>
                <w:color w:val="auto"/>
                <w:spacing w:val="-10"/>
                <w:sz w:val="24"/>
              </w:rPr>
              <w:t>按</w:t>
            </w:r>
            <w:r>
              <w:rPr>
                <w:rFonts w:hint="eastAsia" w:ascii="宋体" w:hAnsi="宋体" w:cs="宋体"/>
                <w:color w:val="auto"/>
                <w:spacing w:val="-9"/>
                <w:sz w:val="24"/>
              </w:rPr>
              <w:t>相关规定</w:t>
            </w:r>
            <w:r>
              <w:rPr>
                <w:rFonts w:hint="eastAsia" w:ascii="宋体" w:hAnsi="宋体" w:cs="宋体"/>
                <w:color w:val="auto"/>
                <w:spacing w:val="-9"/>
                <w:sz w:val="24"/>
                <w:lang w:val="en-US" w:eastAsia="zh-CN"/>
              </w:rPr>
              <w:t>终止</w:t>
            </w:r>
            <w:r>
              <w:rPr>
                <w:rFonts w:hint="eastAsia" w:ascii="宋体" w:hAnsi="宋体" w:cs="宋体"/>
                <w:color w:val="auto"/>
                <w:spacing w:val="-9"/>
                <w:sz w:val="24"/>
              </w:rPr>
              <w:t>合同及进行违约处理，成交</w:t>
            </w:r>
            <w:r>
              <w:rPr>
                <w:rFonts w:hint="eastAsia" w:ascii="宋体" w:hAnsi="宋体" w:cs="宋体"/>
                <w:color w:val="auto"/>
                <w:spacing w:val="2"/>
                <w:sz w:val="24"/>
              </w:rPr>
              <w:t>供应商</w:t>
            </w:r>
            <w:r>
              <w:rPr>
                <w:rFonts w:hint="eastAsia" w:ascii="宋体" w:hAnsi="宋体" w:cs="宋体"/>
                <w:color w:val="auto"/>
                <w:spacing w:val="-9"/>
                <w:sz w:val="24"/>
              </w:rPr>
              <w:t>承担所有责任和费用，造成</w:t>
            </w:r>
            <w:r>
              <w:rPr>
                <w:rFonts w:hint="eastAsia" w:ascii="宋体" w:hAnsi="宋体" w:cs="宋体"/>
                <w:color w:val="auto"/>
                <w:spacing w:val="-2"/>
                <w:sz w:val="24"/>
              </w:rPr>
              <w:t>采购人利益损</w:t>
            </w:r>
            <w:r>
              <w:rPr>
                <w:rFonts w:hint="eastAsia" w:ascii="宋体" w:hAnsi="宋体" w:cs="宋体"/>
                <w:color w:val="auto"/>
                <w:spacing w:val="-1"/>
                <w:sz w:val="24"/>
              </w:rPr>
              <w:t>失的还须赔偿，且采购人保留进一步追究责任的权利。</w:t>
            </w:r>
          </w:p>
          <w:p>
            <w:pPr>
              <w:ind w:firstLine="472" w:firstLineChars="200"/>
              <w:jc w:val="left"/>
              <w:rPr>
                <w:rFonts w:ascii="宋体" w:hAnsi="宋体" w:cs="宋体"/>
                <w:color w:val="auto"/>
                <w:sz w:val="24"/>
              </w:rPr>
            </w:pPr>
            <w:r>
              <w:rPr>
                <w:rFonts w:hint="eastAsia" w:ascii="宋体" w:hAnsi="宋体" w:cs="宋体"/>
                <w:color w:val="auto"/>
                <w:spacing w:val="-2"/>
                <w:sz w:val="24"/>
              </w:rPr>
              <w:t>3.</w:t>
            </w:r>
            <w:r>
              <w:rPr>
                <w:rFonts w:hint="eastAsia" w:ascii="宋体" w:hAnsi="宋体" w:cs="宋体"/>
                <w:color w:val="auto"/>
                <w:spacing w:val="-1"/>
                <w:sz w:val="24"/>
              </w:rPr>
              <w:t>成交供应商在投标活动中提供任何虚假材料，其投标无效，并报监管部门查</w:t>
            </w:r>
            <w:r>
              <w:rPr>
                <w:rFonts w:hint="eastAsia" w:ascii="宋体" w:hAnsi="宋体" w:cs="宋体"/>
                <w:color w:val="auto"/>
                <w:spacing w:val="-18"/>
                <w:sz w:val="24"/>
              </w:rPr>
              <w:t>处</w:t>
            </w:r>
            <w:r>
              <w:rPr>
                <w:rFonts w:hint="eastAsia" w:ascii="宋体" w:hAnsi="宋体" w:cs="宋体"/>
                <w:color w:val="auto"/>
                <w:spacing w:val="-9"/>
                <w:sz w:val="24"/>
              </w:rPr>
              <w:t>；成交后发现的，成交</w:t>
            </w:r>
            <w:r>
              <w:rPr>
                <w:rFonts w:hint="eastAsia" w:ascii="宋体" w:hAnsi="宋体" w:cs="宋体"/>
                <w:color w:val="auto"/>
                <w:spacing w:val="2"/>
                <w:sz w:val="24"/>
              </w:rPr>
              <w:t>供应商</w:t>
            </w:r>
            <w:r>
              <w:rPr>
                <w:rFonts w:hint="eastAsia" w:ascii="宋体" w:hAnsi="宋体" w:cs="宋体"/>
                <w:color w:val="auto"/>
                <w:spacing w:val="-9"/>
                <w:sz w:val="24"/>
              </w:rPr>
              <w:t>须</w:t>
            </w:r>
            <w:r>
              <w:rPr>
                <w:rFonts w:hint="eastAsia" w:ascii="宋体" w:hAnsi="宋体" w:cs="宋体"/>
                <w:color w:val="auto"/>
                <w:spacing w:val="2"/>
                <w:sz w:val="24"/>
              </w:rPr>
              <w:t>双倍赔偿采购人，且民事赔偿并不免除违法磋商竞标人的行政与刑事责</w:t>
            </w:r>
            <w:r>
              <w:rPr>
                <w:rFonts w:hint="eastAsia" w:ascii="宋体" w:hAnsi="宋体" w:cs="宋体"/>
                <w:color w:val="auto"/>
                <w:spacing w:val="-10"/>
                <w:sz w:val="24"/>
              </w:rPr>
              <w:t>任</w:t>
            </w:r>
            <w:r>
              <w:rPr>
                <w:rFonts w:hint="eastAsia" w:ascii="宋体" w:hAnsi="宋体" w:cs="宋体"/>
                <w:color w:val="auto"/>
                <w:spacing w:val="-9"/>
                <w:sz w:val="24"/>
              </w:rPr>
              <w:t>。</w:t>
            </w:r>
          </w:p>
          <w:p>
            <w:pPr>
              <w:ind w:firstLine="452" w:firstLineChars="200"/>
              <w:jc w:val="left"/>
              <w:rPr>
                <w:rFonts w:ascii="宋体" w:hAnsi="宋体" w:cs="宋体"/>
                <w:color w:val="auto"/>
                <w:sz w:val="24"/>
              </w:rPr>
            </w:pPr>
            <w:r>
              <w:rPr>
                <w:rFonts w:hint="eastAsia" w:ascii="宋体" w:hAnsi="宋体" w:cs="宋体"/>
                <w:color w:val="auto"/>
                <w:spacing w:val="-7"/>
                <w:sz w:val="24"/>
              </w:rPr>
              <w:t>4.</w:t>
            </w:r>
            <w:r>
              <w:rPr>
                <w:rFonts w:hint="eastAsia" w:ascii="宋体" w:hAnsi="宋体" w:cs="宋体"/>
                <w:color w:val="auto"/>
                <w:spacing w:val="-4"/>
                <w:sz w:val="24"/>
              </w:rPr>
              <w:t>由采购人组成验收小组对本项目服务成果进行验收。未通过验收的，成交</w:t>
            </w:r>
            <w:r>
              <w:rPr>
                <w:rFonts w:hint="eastAsia" w:ascii="宋体" w:hAnsi="宋体" w:cs="宋体"/>
                <w:color w:val="auto"/>
                <w:spacing w:val="2"/>
                <w:sz w:val="24"/>
              </w:rPr>
              <w:t>竞标人</w:t>
            </w:r>
            <w:r>
              <w:rPr>
                <w:rFonts w:hint="eastAsia" w:ascii="宋体" w:hAnsi="宋体" w:cs="宋体"/>
                <w:color w:val="auto"/>
                <w:spacing w:val="-8"/>
                <w:sz w:val="24"/>
              </w:rPr>
              <w:t>必须根据验</w:t>
            </w:r>
            <w:r>
              <w:rPr>
                <w:rFonts w:hint="eastAsia" w:ascii="宋体" w:hAnsi="宋体" w:cs="宋体"/>
                <w:color w:val="auto"/>
                <w:spacing w:val="-7"/>
                <w:sz w:val="24"/>
              </w:rPr>
              <w:t>收</w:t>
            </w:r>
            <w:r>
              <w:rPr>
                <w:rFonts w:hint="eastAsia" w:ascii="宋体" w:hAnsi="宋体" w:cs="宋体"/>
                <w:color w:val="auto"/>
                <w:spacing w:val="-4"/>
                <w:sz w:val="24"/>
              </w:rPr>
              <w:t>小组的意见和建议，在规定的时间内进行修改、补充和完善。</w:t>
            </w:r>
            <w:r>
              <w:rPr>
                <w:rFonts w:hint="eastAsia" w:ascii="宋体" w:hAnsi="宋体" w:cs="宋体"/>
                <w:color w:val="auto"/>
                <w:spacing w:val="-1"/>
                <w:sz w:val="24"/>
              </w:rPr>
              <w:t>成交人无正当理由拒不</w:t>
            </w:r>
            <w:r>
              <w:rPr>
                <w:rFonts w:hint="eastAsia" w:ascii="宋体" w:hAnsi="宋体" w:cs="宋体"/>
                <w:color w:val="auto"/>
                <w:sz w:val="24"/>
              </w:rPr>
              <w:t>改正的，视为违约，并按相关约定处理。</w:t>
            </w:r>
          </w:p>
          <w:p>
            <w:pPr>
              <w:ind w:firstLine="476" w:firstLineChars="200"/>
              <w:jc w:val="left"/>
              <w:rPr>
                <w:rFonts w:ascii="宋体" w:hAnsi="宋体" w:cs="宋体"/>
                <w:color w:val="auto"/>
                <w:sz w:val="24"/>
              </w:rPr>
            </w:pPr>
            <w:r>
              <w:rPr>
                <w:rFonts w:hint="eastAsia" w:ascii="宋体" w:hAnsi="宋体" w:cs="宋体"/>
                <w:color w:val="auto"/>
                <w:spacing w:val="-1"/>
                <w:sz w:val="24"/>
              </w:rPr>
              <w:t>5.验收过程中，如产</w:t>
            </w:r>
            <w:r>
              <w:rPr>
                <w:rFonts w:hint="eastAsia" w:ascii="宋体" w:hAnsi="宋体" w:cs="宋体"/>
                <w:color w:val="auto"/>
                <w:sz w:val="24"/>
              </w:rPr>
              <w:t>生费用由成交</w:t>
            </w:r>
            <w:r>
              <w:rPr>
                <w:rFonts w:hint="eastAsia" w:ascii="宋体" w:hAnsi="宋体" w:cs="宋体"/>
                <w:color w:val="auto"/>
                <w:spacing w:val="2"/>
                <w:sz w:val="24"/>
              </w:rPr>
              <w:t>供应商</w:t>
            </w:r>
            <w:r>
              <w:rPr>
                <w:rFonts w:hint="eastAsia" w:ascii="宋体" w:hAnsi="宋体" w:cs="宋体"/>
                <w:color w:val="auto"/>
                <w:sz w:val="24"/>
              </w:rPr>
              <w:t>承担。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2" w:hRule="atLeast"/>
          <w:jc w:val="center"/>
        </w:trPr>
        <w:tc>
          <w:tcPr>
            <w:tcW w:w="2563" w:type="dxa"/>
            <w:gridSpan w:val="3"/>
            <w:vAlign w:val="center"/>
          </w:tcPr>
          <w:p>
            <w:pPr>
              <w:spacing w:before="68"/>
              <w:jc w:val="center"/>
              <w:rPr>
                <w:rFonts w:ascii="宋体" w:hAnsi="宋体" w:cs="宋体"/>
                <w:color w:val="auto"/>
                <w:sz w:val="24"/>
              </w:rPr>
            </w:pPr>
            <w:r>
              <w:rPr>
                <w:rFonts w:hint="eastAsia" w:ascii="宋体" w:hAnsi="宋体" w:cs="宋体"/>
                <w:color w:val="auto"/>
                <w:spacing w:val="-2"/>
                <w:sz w:val="24"/>
              </w:rPr>
              <w:t>其他说</w:t>
            </w:r>
            <w:r>
              <w:rPr>
                <w:rFonts w:hint="eastAsia" w:ascii="宋体" w:hAnsi="宋体" w:cs="宋体"/>
                <w:color w:val="auto"/>
                <w:spacing w:val="-1"/>
                <w:sz w:val="24"/>
              </w:rPr>
              <w:t>明</w:t>
            </w:r>
          </w:p>
        </w:tc>
        <w:tc>
          <w:tcPr>
            <w:tcW w:w="7232" w:type="dxa"/>
            <w:gridSpan w:val="2"/>
            <w:vAlign w:val="center"/>
          </w:tcPr>
          <w:p>
            <w:pPr>
              <w:ind w:firstLine="472" w:firstLineChars="200"/>
              <w:jc w:val="left"/>
              <w:rPr>
                <w:rFonts w:ascii="宋体" w:hAnsi="宋体" w:cs="宋体"/>
                <w:color w:val="auto"/>
                <w:sz w:val="24"/>
                <w:highlight w:val="none"/>
              </w:rPr>
            </w:pPr>
            <w:r>
              <w:rPr>
                <w:rFonts w:hint="eastAsia" w:ascii="宋体" w:hAnsi="宋体" w:cs="宋体"/>
                <w:color w:val="auto"/>
                <w:spacing w:val="-2"/>
                <w:sz w:val="24"/>
              </w:rPr>
              <w:t>1.保密</w:t>
            </w:r>
            <w:r>
              <w:rPr>
                <w:rFonts w:hint="eastAsia" w:ascii="宋体" w:hAnsi="宋体" w:cs="宋体"/>
                <w:color w:val="auto"/>
                <w:spacing w:val="-1"/>
                <w:sz w:val="24"/>
              </w:rPr>
              <w:t>要求：</w:t>
            </w:r>
            <w:r>
              <w:rPr>
                <w:rFonts w:hint="eastAsia" w:ascii="宋体" w:hAnsi="宋体" w:cs="宋体"/>
                <w:color w:val="auto"/>
                <w:spacing w:val="-11"/>
                <w:sz w:val="24"/>
              </w:rPr>
              <w:t>成</w:t>
            </w:r>
            <w:r>
              <w:rPr>
                <w:rFonts w:hint="eastAsia" w:ascii="宋体" w:hAnsi="宋体" w:cs="宋体"/>
                <w:color w:val="auto"/>
                <w:spacing w:val="-7"/>
                <w:sz w:val="24"/>
              </w:rPr>
              <w:t xml:space="preserve">交竞标人对项目数据采集、数据成果文件的内容涉及保密要求的， </w:t>
            </w:r>
            <w:r>
              <w:rPr>
                <w:rFonts w:hint="eastAsia" w:ascii="宋体" w:hAnsi="宋体" w:cs="宋体"/>
                <w:color w:val="auto"/>
                <w:spacing w:val="-7"/>
                <w:sz w:val="24"/>
                <w:highlight w:val="none"/>
              </w:rPr>
              <w:t>应进行严格</w:t>
            </w:r>
            <w:r>
              <w:rPr>
                <w:rFonts w:hint="eastAsia" w:ascii="宋体" w:hAnsi="宋体" w:cs="宋体"/>
                <w:color w:val="auto"/>
                <w:spacing w:val="-2"/>
                <w:sz w:val="24"/>
                <w:highlight w:val="none"/>
              </w:rPr>
              <w:t>保密，如有泄</w:t>
            </w:r>
            <w:r>
              <w:rPr>
                <w:rFonts w:hint="eastAsia" w:ascii="宋体" w:hAnsi="宋体" w:cs="宋体"/>
                <w:color w:val="auto"/>
                <w:spacing w:val="-1"/>
                <w:sz w:val="24"/>
                <w:highlight w:val="none"/>
              </w:rPr>
              <w:t>露，采购人有权追究法律责任，并要求成交</w:t>
            </w:r>
            <w:r>
              <w:rPr>
                <w:rFonts w:hint="eastAsia" w:ascii="宋体" w:hAnsi="宋体" w:cs="宋体"/>
                <w:color w:val="auto"/>
                <w:spacing w:val="2"/>
                <w:sz w:val="24"/>
                <w:highlight w:val="none"/>
              </w:rPr>
              <w:t>竞标人</w:t>
            </w:r>
            <w:r>
              <w:rPr>
                <w:rFonts w:hint="eastAsia" w:ascii="宋体" w:hAnsi="宋体" w:cs="宋体"/>
                <w:color w:val="auto"/>
                <w:spacing w:val="-1"/>
                <w:sz w:val="24"/>
                <w:highlight w:val="none"/>
              </w:rPr>
              <w:t>承担经济损失。</w:t>
            </w:r>
          </w:p>
          <w:p>
            <w:pPr>
              <w:ind w:firstLine="472" w:firstLineChars="200"/>
              <w:jc w:val="left"/>
              <w:rPr>
                <w:rFonts w:ascii="宋体" w:hAnsi="宋体" w:cs="宋体"/>
                <w:color w:val="auto"/>
                <w:sz w:val="24"/>
              </w:rPr>
            </w:pPr>
            <w:r>
              <w:rPr>
                <w:rFonts w:hint="eastAsia" w:ascii="宋体" w:hAnsi="宋体" w:cs="宋体"/>
                <w:color w:val="auto"/>
                <w:spacing w:val="-2"/>
                <w:sz w:val="24"/>
                <w:highlight w:val="none"/>
              </w:rPr>
              <w:t>2.</w:t>
            </w:r>
            <w:r>
              <w:rPr>
                <w:rFonts w:hint="eastAsia" w:ascii="宋体" w:hAnsi="宋体" w:cs="宋体"/>
                <w:color w:val="auto"/>
                <w:spacing w:val="-1"/>
                <w:sz w:val="24"/>
                <w:highlight w:val="none"/>
              </w:rPr>
              <w:t>分包：</w:t>
            </w:r>
            <w:r>
              <w:rPr>
                <w:rFonts w:hint="eastAsia" w:ascii="宋体" w:hAnsi="宋体" w:cs="宋体"/>
                <w:color w:val="auto"/>
                <w:spacing w:val="-4"/>
                <w:sz w:val="24"/>
                <w:highlight w:val="none"/>
              </w:rPr>
              <w:t>本项目不允许分包。</w:t>
            </w:r>
          </w:p>
        </w:tc>
      </w:tr>
    </w:tbl>
    <w:p>
      <w:pPr>
        <w:tabs>
          <w:tab w:val="left" w:pos="180"/>
          <w:tab w:val="left" w:pos="1620"/>
        </w:tabs>
        <w:spacing w:line="400" w:lineRule="exact"/>
        <w:rPr>
          <w:b/>
          <w:bCs/>
          <w:color w:val="auto"/>
          <w:sz w:val="32"/>
          <w:szCs w:val="32"/>
        </w:rPr>
      </w:pPr>
    </w:p>
    <w:p>
      <w:pPr>
        <w:jc w:val="left"/>
        <w:rPr>
          <w:b/>
          <w:bCs/>
          <w:color w:val="auto"/>
          <w:sz w:val="44"/>
          <w:szCs w:val="44"/>
        </w:rPr>
      </w:pPr>
      <w:r>
        <w:rPr>
          <w:b/>
          <w:bCs/>
          <w:color w:val="auto"/>
          <w:sz w:val="44"/>
          <w:szCs w:val="44"/>
        </w:rPr>
        <w:br w:type="page"/>
      </w:r>
    </w:p>
    <w:p>
      <w:pPr>
        <w:jc w:val="center"/>
        <w:outlineLvl w:val="0"/>
        <w:rPr>
          <w:b/>
          <w:bCs/>
          <w:color w:val="auto"/>
          <w:sz w:val="44"/>
          <w:szCs w:val="44"/>
        </w:rPr>
      </w:pPr>
      <w:r>
        <w:rPr>
          <w:b/>
          <w:bCs/>
          <w:color w:val="auto"/>
          <w:sz w:val="44"/>
          <w:szCs w:val="44"/>
        </w:rPr>
        <w:t>第四章  评审方法</w:t>
      </w:r>
      <w:bookmarkEnd w:id="27"/>
    </w:p>
    <w:p>
      <w:pPr>
        <w:pStyle w:val="9"/>
        <w:keepNext w:val="0"/>
        <w:keepLines w:val="0"/>
        <w:pageBreakBefore w:val="0"/>
        <w:kinsoku/>
        <w:wordWrap/>
        <w:overflowPunct/>
        <w:topLinePunct w:val="0"/>
        <w:autoSpaceDE/>
        <w:autoSpaceDN/>
        <w:bidi w:val="0"/>
        <w:adjustRightInd/>
        <w:snapToGrid/>
        <w:spacing w:line="500" w:lineRule="exact"/>
        <w:ind w:firstLine="420"/>
        <w:jc w:val="left"/>
        <w:textAlignment w:val="auto"/>
        <w:rPr>
          <w:rFonts w:ascii="Times New Roman" w:hAnsi="Times New Roman" w:cs="Times New Roman"/>
          <w:bCs/>
          <w:color w:val="auto"/>
        </w:rPr>
      </w:pPr>
    </w:p>
    <w:p>
      <w:pPr>
        <w:pStyle w:val="9"/>
        <w:keepNext w:val="0"/>
        <w:keepLines w:val="0"/>
        <w:pageBreakBefore w:val="0"/>
        <w:kinsoku/>
        <w:wordWrap/>
        <w:overflowPunct/>
        <w:topLinePunct w:val="0"/>
        <w:autoSpaceDE/>
        <w:autoSpaceDN/>
        <w:bidi w:val="0"/>
        <w:adjustRightInd/>
        <w:snapToGrid/>
        <w:spacing w:line="500" w:lineRule="exact"/>
        <w:ind w:firstLine="480" w:firstLineChars="200"/>
        <w:jc w:val="left"/>
        <w:textAlignment w:val="auto"/>
        <w:rPr>
          <w:rFonts w:hAnsi="宋体" w:cs="宋体"/>
          <w:bCs/>
          <w:color w:val="auto"/>
          <w:sz w:val="24"/>
          <w:szCs w:val="24"/>
        </w:rPr>
      </w:pPr>
      <w:r>
        <w:rPr>
          <w:rFonts w:hint="eastAsia" w:hAnsi="宋体" w:cs="宋体"/>
          <w:bCs/>
          <w:color w:val="auto"/>
          <w:sz w:val="24"/>
          <w:szCs w:val="24"/>
        </w:rPr>
        <w:t>（一）竞争性磋商小组构成：本采购项目的竞争性磋商小组</w:t>
      </w:r>
      <w:r>
        <w:rPr>
          <w:rFonts w:hint="eastAsia" w:ascii="宋体" w:hAnsi="宋体" w:cs="宋体"/>
          <w:color w:val="auto"/>
          <w:kern w:val="0"/>
          <w:sz w:val="24"/>
          <w:highlight w:val="none"/>
        </w:rPr>
        <w:t>由采购人代表和</w:t>
      </w:r>
      <w:r>
        <w:rPr>
          <w:rFonts w:hint="eastAsia" w:ascii="宋体" w:hAnsi="宋体" w:cs="宋体"/>
          <w:color w:val="auto"/>
          <w:kern w:val="0"/>
          <w:sz w:val="24"/>
          <w:highlight w:val="none"/>
          <w:lang w:val="en-US" w:eastAsia="zh-CN"/>
        </w:rPr>
        <w:t>评委</w:t>
      </w:r>
      <w:r>
        <w:rPr>
          <w:rFonts w:hint="eastAsia" w:ascii="宋体" w:hAnsi="宋体" w:cs="宋体"/>
          <w:color w:val="auto"/>
          <w:kern w:val="0"/>
          <w:sz w:val="24"/>
          <w:highlight w:val="none"/>
        </w:rPr>
        <w:t>共3人</w:t>
      </w:r>
      <w:r>
        <w:rPr>
          <w:rFonts w:hint="eastAsia" w:hAnsi="宋体" w:cs="宋体"/>
          <w:bCs/>
          <w:color w:val="auto"/>
          <w:sz w:val="24"/>
          <w:szCs w:val="24"/>
        </w:rPr>
        <w:t>及以上单数构成。</w:t>
      </w:r>
    </w:p>
    <w:p>
      <w:pPr>
        <w:pStyle w:val="9"/>
        <w:keepNext w:val="0"/>
        <w:keepLines w:val="0"/>
        <w:pageBreakBefore w:val="0"/>
        <w:kinsoku/>
        <w:wordWrap/>
        <w:overflowPunct/>
        <w:topLinePunct w:val="0"/>
        <w:autoSpaceDE/>
        <w:autoSpaceDN/>
        <w:bidi w:val="0"/>
        <w:adjustRightInd/>
        <w:snapToGrid/>
        <w:spacing w:line="500" w:lineRule="exact"/>
        <w:ind w:firstLine="480" w:firstLineChars="200"/>
        <w:jc w:val="left"/>
        <w:textAlignment w:val="auto"/>
        <w:rPr>
          <w:rFonts w:hAnsi="宋体" w:cs="宋体"/>
          <w:bCs/>
          <w:color w:val="auto"/>
          <w:sz w:val="24"/>
          <w:szCs w:val="24"/>
        </w:rPr>
      </w:pPr>
      <w:r>
        <w:rPr>
          <w:rFonts w:hint="eastAsia" w:hAnsi="宋体" w:cs="宋体"/>
          <w:bCs/>
          <w:color w:val="auto"/>
          <w:sz w:val="24"/>
          <w:szCs w:val="24"/>
        </w:rPr>
        <w:t>（二）评标依据：竞争性磋商小组将以竞争性磋商采购文件、磋商响应文件为评标依据，采用综合评分法，通过现场磋商打分确定最终排名。评分维度及分值占比如下：价格分15分，产品规划与技术方案</w:t>
      </w:r>
      <w:r>
        <w:rPr>
          <w:rFonts w:hint="eastAsia" w:hAnsi="宋体" w:cs="宋体"/>
          <w:bCs/>
          <w:color w:val="auto"/>
          <w:sz w:val="24"/>
          <w:szCs w:val="24"/>
          <w:lang w:val="en-US" w:eastAsia="zh-CN"/>
        </w:rPr>
        <w:t>60</w:t>
      </w:r>
      <w:r>
        <w:rPr>
          <w:rFonts w:hint="eastAsia" w:hAnsi="宋体" w:cs="宋体"/>
          <w:bCs/>
          <w:color w:val="auto"/>
          <w:sz w:val="24"/>
          <w:szCs w:val="24"/>
        </w:rPr>
        <w:t>分，</w:t>
      </w:r>
      <w:r>
        <w:rPr>
          <w:rFonts w:hint="eastAsia" w:hAnsi="宋体" w:cs="宋体"/>
          <w:bCs/>
          <w:color w:val="auto"/>
          <w:sz w:val="24"/>
          <w:szCs w:val="24"/>
          <w:lang w:val="en-US" w:eastAsia="zh-CN"/>
        </w:rPr>
        <w:t>技术能力与项目经验15</w:t>
      </w:r>
      <w:r>
        <w:rPr>
          <w:rFonts w:hint="eastAsia" w:hAnsi="宋体" w:cs="宋体"/>
          <w:bCs/>
          <w:color w:val="auto"/>
          <w:sz w:val="24"/>
          <w:szCs w:val="24"/>
        </w:rPr>
        <w:t>分，增值服务</w:t>
      </w:r>
      <w:r>
        <w:rPr>
          <w:rFonts w:hint="eastAsia" w:hAnsi="宋体" w:cs="宋体"/>
          <w:bCs/>
          <w:color w:val="auto"/>
          <w:sz w:val="24"/>
          <w:szCs w:val="24"/>
          <w:lang w:val="en-US" w:eastAsia="zh-CN"/>
        </w:rPr>
        <w:t>10</w:t>
      </w:r>
      <w:r>
        <w:rPr>
          <w:rFonts w:hint="eastAsia" w:hAnsi="宋体" w:cs="宋体"/>
          <w:bCs/>
          <w:color w:val="auto"/>
          <w:sz w:val="24"/>
          <w:szCs w:val="24"/>
        </w:rPr>
        <w:t>分。</w:t>
      </w:r>
    </w:p>
    <w:p>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ascii="宋体" w:hAnsi="宋体" w:cs="宋体"/>
          <w:bCs/>
          <w:color w:val="auto"/>
          <w:sz w:val="24"/>
        </w:rPr>
      </w:pPr>
      <w:r>
        <w:rPr>
          <w:rFonts w:hint="eastAsia" w:ascii="宋体" w:hAnsi="宋体" w:cs="宋体"/>
          <w:bCs/>
          <w:color w:val="auto"/>
          <w:sz w:val="24"/>
        </w:rPr>
        <w:t>（三）计分办法（按四舍五入取至小数点后两位）：</w:t>
      </w:r>
    </w:p>
    <w:p>
      <w:pPr>
        <w:pStyle w:val="9"/>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Ansi="宋体" w:cs="宋体"/>
          <w:bCs/>
          <w:color w:val="auto"/>
          <w:sz w:val="24"/>
          <w:szCs w:val="24"/>
        </w:rPr>
      </w:pPr>
      <w:r>
        <w:rPr>
          <w:rFonts w:hint="eastAsia" w:hAnsi="宋体" w:cs="宋体"/>
          <w:bCs/>
          <w:color w:val="auto"/>
          <w:sz w:val="24"/>
          <w:szCs w:val="24"/>
        </w:rPr>
        <w:t>（四）评分细则：</w:t>
      </w:r>
    </w:p>
    <w:tbl>
      <w:tblPr>
        <w:tblStyle w:val="15"/>
        <w:tblW w:w="0" w:type="auto"/>
        <w:tblInd w:w="93" w:type="dxa"/>
        <w:tblLayout w:type="autofit"/>
        <w:tblCellMar>
          <w:top w:w="0" w:type="dxa"/>
          <w:left w:w="108" w:type="dxa"/>
          <w:bottom w:w="0" w:type="dxa"/>
          <w:right w:w="108" w:type="dxa"/>
        </w:tblCellMar>
      </w:tblPr>
      <w:tblGrid>
        <w:gridCol w:w="1875"/>
        <w:gridCol w:w="1364"/>
        <w:gridCol w:w="5014"/>
        <w:gridCol w:w="714"/>
        <w:gridCol w:w="512"/>
      </w:tblGrid>
      <w:tr>
        <w:tblPrEx>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类别</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评分项目</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评分标准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最高分值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kern w:val="0"/>
                <w:sz w:val="24"/>
                <w:lang w:bidi="ar"/>
              </w:rPr>
              <w:t>得分</w:t>
            </w:r>
          </w:p>
        </w:tc>
      </w:tr>
      <w:tr>
        <w:tblPrEx>
          <w:tblCellMar>
            <w:top w:w="0" w:type="dxa"/>
            <w:left w:w="108" w:type="dxa"/>
            <w:bottom w:w="0" w:type="dxa"/>
            <w:right w:w="108" w:type="dxa"/>
          </w:tblCellMar>
        </w:tblPrEx>
        <w:trPr>
          <w:trHeight w:val="19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lang w:bidi="ar"/>
              </w:rPr>
              <w:t>价格（</w:t>
            </w:r>
            <w:r>
              <w:rPr>
                <w:rFonts w:hint="eastAsia" w:asciiTheme="minorEastAsia" w:hAnsiTheme="minorEastAsia" w:eastAsiaTheme="minorEastAsia" w:cstheme="minorEastAsia"/>
                <w:color w:val="auto"/>
                <w:kern w:val="0"/>
                <w:sz w:val="24"/>
                <w:highlight w:val="none"/>
                <w:lang w:val="en-US" w:eastAsia="zh-CN" w:bidi="ar"/>
              </w:rPr>
              <w:t>15</w:t>
            </w:r>
            <w:r>
              <w:rPr>
                <w:rFonts w:hint="eastAsia" w:asciiTheme="minorEastAsia" w:hAnsiTheme="minorEastAsia" w:eastAsiaTheme="minorEastAsia" w:cstheme="minorEastAsia"/>
                <w:color w:val="auto"/>
                <w:kern w:val="0"/>
                <w:sz w:val="24"/>
                <w:highlight w:val="none"/>
                <w:lang w:bidi="ar"/>
              </w:rPr>
              <w:t>分）</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lang w:bidi="ar"/>
              </w:rPr>
              <w:t>报价合理性</w:t>
            </w:r>
          </w:p>
        </w:tc>
        <w:tc>
          <w:tcPr>
            <w:tcW w:w="50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采用</w:t>
            </w:r>
            <w:r>
              <w:rPr>
                <w:rFonts w:hint="default" w:ascii="Times New Roman" w:hAnsi="Times New Roman" w:cs="Times New Roman"/>
                <w:b/>
                <w:bCs/>
                <w:color w:val="auto"/>
                <w:sz w:val="24"/>
                <w:szCs w:val="24"/>
                <w:highlight w:val="none"/>
              </w:rPr>
              <w:t>低价优先法</w:t>
            </w:r>
            <w:r>
              <w:rPr>
                <w:rFonts w:hint="default" w:ascii="Times New Roman" w:hAnsi="Times New Roman" w:cs="Times New Roman"/>
                <w:color w:val="auto"/>
                <w:sz w:val="24"/>
                <w:szCs w:val="24"/>
                <w:highlight w:val="none"/>
              </w:rPr>
              <w:t>。满足磋商文件要求且最后报价最低的供应商的价格为磋商基准价，其价格分为满分</w:t>
            </w:r>
            <w:r>
              <w:rPr>
                <w:rFonts w:hint="eastAsia" w:cs="Times New Roman"/>
                <w:color w:val="auto"/>
                <w:sz w:val="24"/>
                <w:szCs w:val="24"/>
                <w:highlight w:val="none"/>
                <w:lang w:val="en-US" w:eastAsia="zh-CN"/>
              </w:rPr>
              <w:t>15</w:t>
            </w:r>
            <w:r>
              <w:rPr>
                <w:rFonts w:hint="default" w:ascii="Times New Roman" w:hAnsi="Times New Roman" w:cs="Times New Roman"/>
                <w:color w:val="auto"/>
                <w:sz w:val="24"/>
                <w:szCs w:val="24"/>
                <w:highlight w:val="none"/>
              </w:rPr>
              <w:t>分。其他供应商的价格分统一按照下列公式计算：</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Times New Roman" w:hAnsi="Times New Roman" w:cs="Times New Roman" w:eastAsiaTheme="minorEastAsia"/>
                <w:b/>
                <w:bCs/>
                <w:color w:val="auto"/>
                <w:kern w:val="0"/>
                <w:sz w:val="24"/>
                <w:szCs w:val="24"/>
                <w:highlight w:val="none"/>
                <w:lang w:bidi="ar"/>
              </w:rPr>
            </w:pPr>
            <w:r>
              <w:rPr>
                <w:rFonts w:hint="default" w:ascii="Times New Roman" w:hAnsi="Times New Roman" w:cs="Times New Roman" w:eastAsiaTheme="minorEastAsia"/>
                <w:b/>
                <w:bCs/>
                <w:color w:val="auto"/>
                <w:kern w:val="0"/>
                <w:sz w:val="24"/>
                <w:szCs w:val="24"/>
                <w:highlight w:val="none"/>
                <w:lang w:bidi="ar"/>
              </w:rPr>
              <w:t>磋商报价得分 =（磋商基准价÷最后磋商报价）×</w:t>
            </w:r>
            <w:r>
              <w:rPr>
                <w:rFonts w:hint="default" w:ascii="Times New Roman" w:hAnsi="Times New Roman" w:cs="Times New Roman" w:eastAsiaTheme="minorEastAsia"/>
                <w:b/>
                <w:bCs/>
                <w:color w:val="auto"/>
                <w:kern w:val="0"/>
                <w:sz w:val="24"/>
                <w:szCs w:val="24"/>
                <w:highlight w:val="none"/>
                <w:lang w:val="en-US" w:eastAsia="zh-CN" w:bidi="ar"/>
              </w:rPr>
              <w:t>0.</w:t>
            </w:r>
            <w:r>
              <w:rPr>
                <w:rFonts w:hint="eastAsia" w:cs="Times New Roman" w:eastAsiaTheme="minorEastAsia"/>
                <w:b/>
                <w:bCs/>
                <w:color w:val="auto"/>
                <w:kern w:val="0"/>
                <w:sz w:val="24"/>
                <w:szCs w:val="24"/>
                <w:highlight w:val="none"/>
                <w:lang w:val="en-US" w:eastAsia="zh-CN" w:bidi="ar"/>
              </w:rPr>
              <w:t>15</w:t>
            </w:r>
            <w:r>
              <w:rPr>
                <w:rFonts w:hint="default" w:ascii="Times New Roman" w:hAnsi="Times New Roman" w:cs="Times New Roman" w:eastAsiaTheme="minorEastAsia"/>
                <w:b/>
                <w:bCs/>
                <w:color w:val="auto"/>
                <w:kern w:val="0"/>
                <w:sz w:val="24"/>
                <w:szCs w:val="24"/>
                <w:highlight w:val="none"/>
                <w:lang w:bidi="ar"/>
              </w:rPr>
              <w:t>×100</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strike w:val="0"/>
                <w:dstrike w:val="0"/>
                <w:color w:val="auto"/>
                <w:kern w:val="0"/>
                <w:sz w:val="24"/>
                <w:szCs w:val="24"/>
                <w:highlight w:val="none"/>
                <w:lang w:bidi="ar"/>
              </w:rPr>
            </w:pPr>
            <w:r>
              <w:rPr>
                <w:rFonts w:hint="eastAsia" w:asciiTheme="minorEastAsia" w:hAnsiTheme="minorEastAsia" w:eastAsiaTheme="minorEastAsia" w:cstheme="minorEastAsia"/>
                <w:strike w:val="0"/>
                <w:dstrike w:val="0"/>
                <w:color w:val="auto"/>
                <w:kern w:val="0"/>
                <w:sz w:val="24"/>
                <w:szCs w:val="24"/>
                <w:highlight w:val="none"/>
                <w:lang w:bidi="ar"/>
              </w:rPr>
              <w:t>费用明细清晰合理，详细说明平台开发、功能实现、技术维护、人员服务、后期迭代等各项费用构成及预算依据。</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sz w:val="24"/>
                <w:highlight w:val="none"/>
              </w:rPr>
            </w:pPr>
            <w:r>
              <w:rPr>
                <w:rFonts w:hint="default" w:ascii="Times New Roman" w:hAnsi="Times New Roman" w:eastAsia="宋体" w:cs="Times New Roman"/>
                <w:color w:val="auto"/>
                <w:kern w:val="2"/>
                <w:sz w:val="24"/>
                <w:szCs w:val="24"/>
                <w:highlight w:val="none"/>
                <w:lang w:val="en-US" w:eastAsia="zh-CN" w:bidi="ar-SA"/>
              </w:rPr>
              <w:t>当报价出现以下情形时启动</w:t>
            </w:r>
            <w:r>
              <w:rPr>
                <w:rFonts w:hint="default" w:ascii="Times New Roman" w:hAnsi="Times New Roman" w:eastAsia="宋体" w:cs="Times New Roman"/>
                <w:b/>
                <w:bCs/>
                <w:color w:val="auto"/>
                <w:kern w:val="2"/>
                <w:sz w:val="24"/>
                <w:szCs w:val="24"/>
                <w:highlight w:val="none"/>
                <w:lang w:val="en-US" w:eastAsia="zh-CN" w:bidi="ar-SA"/>
              </w:rPr>
              <w:t>异常低价审查</w:t>
            </w:r>
            <w:r>
              <w:rPr>
                <w:rFonts w:hint="default" w:ascii="Times New Roman" w:hAnsi="Times New Roman" w:eastAsia="宋体" w:cs="Times New Roman"/>
                <w:color w:val="auto"/>
                <w:kern w:val="2"/>
                <w:sz w:val="24"/>
                <w:szCs w:val="24"/>
                <w:highlight w:val="none"/>
                <w:lang w:val="en-US" w:eastAsia="zh-CN" w:bidi="ar-SA"/>
              </w:rPr>
              <w:t>：①低于平均值50%；②低于次低报价50%；③低于最高限价45%；④磋商小组认为可能影响质量。供应商须在规定时间内提供成本构成、费用明细等证明材料，否则按无效竞标处理。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kern w:val="0"/>
                <w:sz w:val="24"/>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5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left"/>
              <w:rPr>
                <w:rFonts w:asciiTheme="minorEastAsia" w:hAnsiTheme="minorEastAsia" w:eastAsiaTheme="minorEastAsia" w:cstheme="minorEastAsia"/>
                <w:color w:val="auto"/>
                <w:sz w:val="24"/>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lang w:bidi="ar"/>
              </w:rPr>
              <w:t>产品规划与技术方案（</w:t>
            </w:r>
            <w:r>
              <w:rPr>
                <w:rFonts w:hint="eastAsia" w:asciiTheme="minorEastAsia" w:hAnsiTheme="minorEastAsia" w:eastAsiaTheme="minorEastAsia" w:cstheme="minorEastAsia"/>
                <w:color w:val="auto"/>
                <w:kern w:val="0"/>
                <w:sz w:val="24"/>
                <w:highlight w:val="none"/>
                <w:lang w:val="en-US" w:eastAsia="zh-CN" w:bidi="ar"/>
              </w:rPr>
              <w:t>60</w:t>
            </w:r>
            <w:r>
              <w:rPr>
                <w:rFonts w:hint="eastAsia" w:asciiTheme="minorEastAsia" w:hAnsiTheme="minorEastAsia" w:eastAsiaTheme="minorEastAsia" w:cstheme="minorEastAsia"/>
                <w:color w:val="auto"/>
                <w:kern w:val="0"/>
                <w:sz w:val="24"/>
                <w:highlight w:val="none"/>
                <w:lang w:bidi="ar"/>
              </w:rPr>
              <w:t>分）</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lang w:bidi="ar"/>
              </w:rPr>
              <w:t>方案符合总体诉求</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1.优秀（5-6分）：深度契合经贸中心业务模块，精准把握平台建设核心目标，对东盟经贸服务需求理解透彻，提出针对性解决方案。</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2.良好（2-4分）：基本符合业务模块要求，明确平台建设目标，对主要需求有清晰认知。</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3.一般（0-1分）：与业务模块匹配度低，对平台建设诉求理解模糊，方案缺乏针对性。</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i w:val="0"/>
                <w:iCs w:val="0"/>
                <w:color w:val="auto"/>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17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为后期增加服务预留接口</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1.优秀（</w:t>
            </w:r>
            <w:r>
              <w:rPr>
                <w:rFonts w:hint="eastAsia" w:asciiTheme="minorEastAsia" w:hAnsiTheme="minorEastAsia" w:eastAsiaTheme="minorEastAsia" w:cstheme="minorEastAsia"/>
                <w:color w:val="auto"/>
                <w:kern w:val="0"/>
                <w:sz w:val="24"/>
                <w:lang w:val="en-US" w:eastAsia="zh-CN" w:bidi="ar"/>
              </w:rPr>
              <w:t>3</w:t>
            </w:r>
            <w:r>
              <w:rPr>
                <w:rFonts w:hint="eastAsia" w:asciiTheme="minorEastAsia" w:hAnsiTheme="minorEastAsia" w:eastAsiaTheme="minorEastAsia" w:cstheme="minorEastAsia"/>
                <w:color w:val="auto"/>
                <w:kern w:val="0"/>
                <w:sz w:val="24"/>
                <w:lang w:bidi="ar"/>
              </w:rPr>
              <w:t>-</w:t>
            </w:r>
            <w:r>
              <w:rPr>
                <w:rFonts w:hint="eastAsia" w:asciiTheme="minorEastAsia" w:hAnsiTheme="minorEastAsia" w:eastAsiaTheme="minorEastAsia" w:cstheme="minorEastAsia"/>
                <w:color w:val="auto"/>
                <w:kern w:val="0"/>
                <w:sz w:val="24"/>
                <w:lang w:val="en-US" w:eastAsia="zh-CN" w:bidi="ar"/>
              </w:rPr>
              <w:t>5</w:t>
            </w:r>
            <w:r>
              <w:rPr>
                <w:rFonts w:hint="eastAsia" w:asciiTheme="minorEastAsia" w:hAnsiTheme="minorEastAsia" w:eastAsiaTheme="minorEastAsia" w:cstheme="minorEastAsia"/>
                <w:color w:val="auto"/>
                <w:kern w:val="0"/>
                <w:sz w:val="24"/>
                <w:lang w:bidi="ar"/>
              </w:rPr>
              <w:t>分）：完全满足一期建设需求清单，预留完善的二期、三期功能拓展接口，接口标准规范，各板块设置完全契合经贸中心业务逻辑。</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2.良好（</w:t>
            </w:r>
            <w:r>
              <w:rPr>
                <w:rFonts w:hint="eastAsia" w:asciiTheme="minorEastAsia" w:hAnsiTheme="minorEastAsia" w:eastAsiaTheme="minorEastAsia" w:cstheme="minorEastAsia"/>
                <w:color w:val="auto"/>
                <w:kern w:val="0"/>
                <w:sz w:val="24"/>
                <w:lang w:val="en-US" w:eastAsia="zh-CN" w:bidi="ar"/>
              </w:rPr>
              <w:t>1</w:t>
            </w:r>
            <w:r>
              <w:rPr>
                <w:rFonts w:hint="eastAsia" w:asciiTheme="minorEastAsia" w:hAnsiTheme="minorEastAsia" w:eastAsiaTheme="minorEastAsia" w:cstheme="minorEastAsia"/>
                <w:color w:val="auto"/>
                <w:kern w:val="0"/>
                <w:sz w:val="24"/>
                <w:lang w:bidi="ar"/>
              </w:rPr>
              <w:t>-</w:t>
            </w:r>
            <w:r>
              <w:rPr>
                <w:rFonts w:hint="eastAsia" w:asciiTheme="minorEastAsia" w:hAnsiTheme="minorEastAsia" w:eastAsiaTheme="minorEastAsia" w:cstheme="minorEastAsia"/>
                <w:color w:val="auto"/>
                <w:kern w:val="0"/>
                <w:sz w:val="24"/>
                <w:lang w:val="en-US" w:eastAsia="zh-CN" w:bidi="ar"/>
              </w:rPr>
              <w:t>2</w:t>
            </w:r>
            <w:r>
              <w:rPr>
                <w:rFonts w:hint="eastAsia" w:asciiTheme="minorEastAsia" w:hAnsiTheme="minorEastAsia" w:eastAsiaTheme="minorEastAsia" w:cstheme="minorEastAsia"/>
                <w:color w:val="auto"/>
                <w:kern w:val="0"/>
                <w:sz w:val="24"/>
                <w:lang w:bidi="ar"/>
              </w:rPr>
              <w:t>分）：满足一期核心需求，预留基本拓展接口，各板块设置基本符合业务逻辑。</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3.一般（0分）：未完全满足一期需求，拓展接口预留不足或不规范，板块设置存在业务逻辑偏差。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kern w:val="0"/>
                <w:sz w:val="24"/>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2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版面设计美观实用</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eastAsia="zh-CN" w:bidi="ar"/>
              </w:rPr>
            </w:pPr>
            <w:r>
              <w:rPr>
                <w:rFonts w:hint="eastAsia" w:asciiTheme="minorEastAsia" w:hAnsiTheme="minorEastAsia" w:eastAsiaTheme="minorEastAsia" w:cstheme="minorEastAsia"/>
                <w:color w:val="auto"/>
                <w:kern w:val="0"/>
                <w:sz w:val="24"/>
                <w:highlight w:val="none"/>
                <w:lang w:bidi="ar"/>
              </w:rPr>
              <w:t>1.优秀（</w:t>
            </w:r>
            <w:r>
              <w:rPr>
                <w:rFonts w:hint="eastAsia" w:asciiTheme="minorEastAsia" w:hAnsiTheme="minorEastAsia" w:eastAsiaTheme="minorEastAsia" w:cstheme="minorEastAsia"/>
                <w:color w:val="auto"/>
                <w:kern w:val="0"/>
                <w:sz w:val="24"/>
                <w:highlight w:val="none"/>
                <w:lang w:val="en-US" w:eastAsia="zh-CN" w:bidi="ar"/>
              </w:rPr>
              <w:t>3-4</w:t>
            </w:r>
            <w:r>
              <w:rPr>
                <w:rFonts w:hint="eastAsia" w:asciiTheme="minorEastAsia" w:hAnsiTheme="minorEastAsia" w:eastAsiaTheme="minorEastAsia" w:cstheme="minorEastAsia"/>
                <w:color w:val="auto"/>
                <w:kern w:val="0"/>
                <w:sz w:val="24"/>
                <w:highlight w:val="none"/>
                <w:lang w:bidi="ar"/>
              </w:rPr>
              <w:t>分）：版面设计美观大方，风格契合东盟经贸主题，功能分区清晰，操作便捷，用户体验极佳。</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eastAsia="zh-CN" w:bidi="ar"/>
              </w:rPr>
            </w:pPr>
            <w:r>
              <w:rPr>
                <w:rFonts w:hint="eastAsia" w:asciiTheme="minorEastAsia" w:hAnsiTheme="minorEastAsia" w:eastAsiaTheme="minorEastAsia" w:cstheme="minorEastAsia"/>
                <w:color w:val="auto"/>
                <w:kern w:val="0"/>
                <w:sz w:val="24"/>
                <w:highlight w:val="none"/>
                <w:lang w:bidi="ar"/>
              </w:rPr>
              <w:t>2.良好（</w:t>
            </w:r>
            <w:r>
              <w:rPr>
                <w:rFonts w:hint="eastAsia" w:asciiTheme="minorEastAsia" w:hAnsiTheme="minorEastAsia" w:eastAsiaTheme="minorEastAsia" w:cstheme="minorEastAsia"/>
                <w:color w:val="auto"/>
                <w:kern w:val="0"/>
                <w:sz w:val="24"/>
                <w:highlight w:val="none"/>
                <w:lang w:val="en-US" w:eastAsia="zh-CN" w:bidi="ar"/>
              </w:rPr>
              <w:t>1-2</w:t>
            </w:r>
            <w:r>
              <w:rPr>
                <w:rFonts w:hint="eastAsia" w:asciiTheme="minorEastAsia" w:hAnsiTheme="minorEastAsia" w:eastAsiaTheme="minorEastAsia" w:cstheme="minorEastAsia"/>
                <w:color w:val="auto"/>
                <w:kern w:val="0"/>
                <w:sz w:val="24"/>
                <w:highlight w:val="none"/>
                <w:lang w:bidi="ar"/>
              </w:rPr>
              <w:t>分）：版面设计较美观，功能分区基本清晰，操作相对便捷。</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lang w:bidi="ar"/>
              </w:rPr>
              <w:t>3.一般（0分）：版面设计粗糙，功能分区混乱，操作复杂，影响使用。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kern w:val="0"/>
                <w:sz w:val="24"/>
                <w:highlight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2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公共服务知识库</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1.优秀（</w:t>
            </w:r>
            <w:r>
              <w:rPr>
                <w:rFonts w:hint="eastAsia" w:asciiTheme="minorEastAsia" w:hAnsiTheme="minorEastAsia" w:eastAsiaTheme="minorEastAsia" w:cstheme="minorEastAsia"/>
                <w:color w:val="auto"/>
                <w:kern w:val="0"/>
                <w:sz w:val="24"/>
                <w:lang w:val="en-US" w:eastAsia="zh-CN" w:bidi="ar"/>
              </w:rPr>
              <w:t>3</w:t>
            </w:r>
            <w:r>
              <w:rPr>
                <w:rFonts w:hint="eastAsia" w:asciiTheme="minorEastAsia" w:hAnsiTheme="minorEastAsia" w:eastAsiaTheme="minorEastAsia" w:cstheme="minorEastAsia"/>
                <w:color w:val="auto"/>
                <w:kern w:val="0"/>
                <w:sz w:val="24"/>
                <w:lang w:bidi="ar"/>
              </w:rPr>
              <w:t>-</w:t>
            </w:r>
            <w:r>
              <w:rPr>
                <w:rFonts w:hint="eastAsia" w:asciiTheme="minorEastAsia" w:hAnsiTheme="minorEastAsia" w:eastAsiaTheme="minorEastAsia" w:cstheme="minorEastAsia"/>
                <w:color w:val="auto"/>
                <w:kern w:val="0"/>
                <w:sz w:val="24"/>
                <w:lang w:val="en-US" w:eastAsia="zh-CN" w:bidi="ar"/>
              </w:rPr>
              <w:t>5</w:t>
            </w:r>
            <w:r>
              <w:rPr>
                <w:rFonts w:hint="eastAsia" w:asciiTheme="minorEastAsia" w:hAnsiTheme="minorEastAsia" w:eastAsiaTheme="minorEastAsia" w:cstheme="minorEastAsia"/>
                <w:color w:val="auto"/>
                <w:kern w:val="0"/>
                <w:sz w:val="24"/>
                <w:lang w:bidi="ar"/>
              </w:rPr>
              <w:t>分）：知识库分类精准，“投资广西、出海东盟”内容全面，涵盖各类政策及营商环境、税收、法规等信息，支持关键词精准搜索，明确语音播报及人工维护方案。</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2.良好（</w:t>
            </w:r>
            <w:r>
              <w:rPr>
                <w:rFonts w:hint="eastAsia" w:asciiTheme="minorEastAsia" w:hAnsiTheme="minorEastAsia" w:eastAsiaTheme="minorEastAsia" w:cstheme="minorEastAsia"/>
                <w:color w:val="auto"/>
                <w:kern w:val="0"/>
                <w:sz w:val="24"/>
                <w:lang w:val="en-US" w:eastAsia="zh-CN" w:bidi="ar"/>
              </w:rPr>
              <w:t>1</w:t>
            </w:r>
            <w:r>
              <w:rPr>
                <w:rFonts w:hint="eastAsia" w:asciiTheme="minorEastAsia" w:hAnsiTheme="minorEastAsia" w:eastAsiaTheme="minorEastAsia" w:cstheme="minorEastAsia"/>
                <w:color w:val="auto"/>
                <w:kern w:val="0"/>
                <w:sz w:val="24"/>
                <w:lang w:bidi="ar"/>
              </w:rPr>
              <w:t>-</w:t>
            </w:r>
            <w:r>
              <w:rPr>
                <w:rFonts w:hint="eastAsia" w:asciiTheme="minorEastAsia" w:hAnsiTheme="minorEastAsia" w:eastAsiaTheme="minorEastAsia" w:cstheme="minorEastAsia"/>
                <w:color w:val="auto"/>
                <w:kern w:val="0"/>
                <w:sz w:val="24"/>
                <w:lang w:val="en-US" w:eastAsia="zh-CN" w:bidi="ar"/>
              </w:rPr>
              <w:t>2</w:t>
            </w:r>
            <w:r>
              <w:rPr>
                <w:rFonts w:hint="eastAsia" w:asciiTheme="minorEastAsia" w:hAnsiTheme="minorEastAsia" w:eastAsiaTheme="minorEastAsia" w:cstheme="minorEastAsia"/>
                <w:color w:val="auto"/>
                <w:kern w:val="0"/>
                <w:sz w:val="24"/>
                <w:lang w:bidi="ar"/>
              </w:rPr>
              <w:t>分）：分类合理，核心内容较完整，支持基本关键词搜索，提及语音播报及维护计划。</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3.一般（0分）：分类混乱，内容缺失严重，搜索功能不完善，无语音播报及维护方案。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15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AI智能服务</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Theme="minorEastAsia" w:hAnsiTheme="minorEastAsia" w:eastAsiaTheme="minorEastAsia" w:cstheme="minorEastAsia"/>
                <w:b w:val="0"/>
                <w:bCs w:val="0"/>
                <w:color w:val="auto"/>
                <w:kern w:val="0"/>
                <w:sz w:val="24"/>
                <w:szCs w:val="24"/>
                <w:highlight w:val="none"/>
                <w:lang w:val="en-US" w:eastAsia="zh-CN" w:bidi="ar"/>
              </w:rPr>
            </w:pPr>
            <w:bookmarkStart w:id="39" w:name="OLE_LINK10"/>
            <w:r>
              <w:rPr>
                <w:rFonts w:hint="eastAsia" w:asciiTheme="minorEastAsia" w:hAnsiTheme="minorEastAsia" w:eastAsiaTheme="minorEastAsia" w:cstheme="minorEastAsia"/>
                <w:b w:val="0"/>
                <w:bCs w:val="0"/>
                <w:color w:val="auto"/>
                <w:kern w:val="0"/>
                <w:sz w:val="24"/>
                <w:szCs w:val="24"/>
                <w:highlight w:val="none"/>
                <w:lang w:val="en-US" w:eastAsia="zh-CN" w:bidi="ar"/>
              </w:rPr>
              <w:t>1.优秀（5-7分）：集成AI智能咨询与出海前策报告，CRM内设智能工单自动生成、动态分配，配置企业出海服务包模块，系统精准匹配并自动推送工单至业务部门，流程完整高效。</w:t>
            </w:r>
          </w:p>
          <w:p>
            <w:pPr>
              <w:keepNext w:val="0"/>
              <w:keepLines w:val="0"/>
              <w:pageBreakBefore w:val="0"/>
              <w:kinsoku/>
              <w:wordWrap/>
              <w:overflowPunct/>
              <w:topLinePunct w:val="0"/>
              <w:autoSpaceDE/>
              <w:autoSpaceDN/>
              <w:bidi w:val="0"/>
              <w:adjustRightInd/>
              <w:snapToGrid/>
              <w:spacing w:line="400" w:lineRule="exact"/>
              <w:jc w:val="lef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2.良好（2-4分）：具备AI咨询或前策报告基本功能，CRM支持工单生成与人工分配，设有出海服务包模块，但匹配推送机制不完善，需部分人工干预。</w:t>
            </w:r>
          </w:p>
          <w:p>
            <w:pPr>
              <w:keepNext w:val="0"/>
              <w:keepLines w:val="0"/>
              <w:pageBreakBefore w:val="0"/>
              <w:kinsoku/>
              <w:wordWrap/>
              <w:overflowPunct/>
              <w:topLinePunct w:val="0"/>
              <w:autoSpaceDE/>
              <w:autoSpaceDN/>
              <w:bidi w:val="0"/>
              <w:adjustRightInd/>
              <w:snapToGrid/>
              <w:spacing w:line="400" w:lineRule="exact"/>
              <w:jc w:val="lef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3.一般（0-1分）：</w:t>
            </w:r>
            <w:bookmarkEnd w:id="39"/>
            <w:r>
              <w:rPr>
                <w:rFonts w:hint="eastAsia" w:asciiTheme="minorEastAsia" w:hAnsiTheme="minorEastAsia" w:eastAsiaTheme="minorEastAsia" w:cstheme="minorEastAsia"/>
                <w:b w:val="0"/>
                <w:bCs w:val="0"/>
                <w:color w:val="auto"/>
                <w:kern w:val="0"/>
                <w:sz w:val="24"/>
                <w:szCs w:val="24"/>
                <w:highlight w:val="none"/>
                <w:lang w:val="en-US" w:eastAsia="zh-CN" w:bidi="ar"/>
              </w:rPr>
              <w:t>AI智能服务功能缺失或仅具雏形，无CRM工单自动分配，无出海服务包模块，匹配推送未实现，主要依赖线下人工操作。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2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贸易配对-供需信息大厅</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eastAsia="zh-CN" w:bidi="ar"/>
              </w:rPr>
            </w:pPr>
            <w:r>
              <w:rPr>
                <w:rFonts w:hint="eastAsia" w:asciiTheme="minorEastAsia" w:hAnsiTheme="minorEastAsia" w:eastAsiaTheme="minorEastAsia" w:cstheme="minorEastAsia"/>
                <w:color w:val="auto"/>
                <w:kern w:val="0"/>
                <w:sz w:val="24"/>
                <w:lang w:bidi="ar"/>
              </w:rPr>
              <w:t>1.优秀（</w:t>
            </w:r>
            <w:r>
              <w:rPr>
                <w:rFonts w:hint="eastAsia" w:asciiTheme="minorEastAsia" w:hAnsiTheme="minorEastAsia" w:eastAsiaTheme="minorEastAsia" w:cstheme="minorEastAsia"/>
                <w:color w:val="auto"/>
                <w:kern w:val="0"/>
                <w:sz w:val="24"/>
                <w:lang w:val="en-US" w:eastAsia="zh-CN" w:bidi="ar"/>
              </w:rPr>
              <w:t>5</w:t>
            </w:r>
            <w:r>
              <w:rPr>
                <w:rFonts w:hint="eastAsia" w:asciiTheme="minorEastAsia" w:hAnsiTheme="minorEastAsia" w:eastAsiaTheme="minorEastAsia" w:cstheme="minorEastAsia"/>
                <w:color w:val="auto"/>
                <w:kern w:val="0"/>
                <w:sz w:val="24"/>
                <w:lang w:bidi="ar"/>
              </w:rPr>
              <w:t>-</w:t>
            </w:r>
            <w:r>
              <w:rPr>
                <w:rFonts w:hint="eastAsia" w:asciiTheme="minorEastAsia" w:hAnsiTheme="minorEastAsia" w:eastAsiaTheme="minorEastAsia" w:cstheme="minorEastAsia"/>
                <w:color w:val="auto"/>
                <w:kern w:val="0"/>
                <w:sz w:val="24"/>
                <w:lang w:val="en-US" w:eastAsia="zh-CN" w:bidi="ar"/>
              </w:rPr>
              <w:t>7</w:t>
            </w:r>
            <w:r>
              <w:rPr>
                <w:rFonts w:hint="eastAsia" w:asciiTheme="minorEastAsia" w:hAnsiTheme="minorEastAsia" w:eastAsiaTheme="minorEastAsia" w:cstheme="minorEastAsia"/>
                <w:color w:val="auto"/>
                <w:kern w:val="0"/>
                <w:sz w:val="24"/>
                <w:lang w:bidi="ar"/>
              </w:rPr>
              <w:t>分）：供需信息展示区设计合理，支持企业便</w:t>
            </w:r>
            <w:r>
              <w:rPr>
                <w:rFonts w:hint="eastAsia" w:asciiTheme="minorEastAsia" w:hAnsiTheme="minorEastAsia" w:eastAsiaTheme="minorEastAsia" w:cstheme="minorEastAsia"/>
                <w:color w:val="auto"/>
                <w:kern w:val="0"/>
                <w:sz w:val="24"/>
                <w:highlight w:val="none"/>
                <w:lang w:bidi="ar"/>
              </w:rPr>
              <w:t>捷发布信息，实现中外企业在线实时咨询、智能匹配及精准合作对接，功能完善。</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highlight w:val="none"/>
                <w:lang w:bidi="ar"/>
              </w:rPr>
              <w:t>2.良好（</w:t>
            </w:r>
            <w:r>
              <w:rPr>
                <w:rFonts w:hint="eastAsia" w:asciiTheme="minorEastAsia" w:hAnsiTheme="minorEastAsia" w:eastAsiaTheme="minorEastAsia" w:cstheme="minorEastAsia"/>
                <w:color w:val="auto"/>
                <w:kern w:val="0"/>
                <w:sz w:val="24"/>
                <w:highlight w:val="none"/>
                <w:lang w:val="en-US" w:eastAsia="zh-CN" w:bidi="ar"/>
              </w:rPr>
              <w:t>2</w:t>
            </w:r>
            <w:r>
              <w:rPr>
                <w:rFonts w:hint="eastAsia" w:asciiTheme="minorEastAsia" w:hAnsiTheme="minorEastAsia" w:eastAsiaTheme="minorEastAsia" w:cstheme="minorEastAsia"/>
                <w:color w:val="auto"/>
                <w:kern w:val="0"/>
                <w:sz w:val="24"/>
                <w:highlight w:val="none"/>
                <w:lang w:bidi="ar"/>
              </w:rPr>
              <w:t>-</w:t>
            </w:r>
            <w:r>
              <w:rPr>
                <w:rFonts w:hint="eastAsia" w:asciiTheme="minorEastAsia" w:hAnsiTheme="minorEastAsia" w:eastAsiaTheme="minorEastAsia" w:cstheme="minorEastAsia"/>
                <w:color w:val="auto"/>
                <w:kern w:val="0"/>
                <w:sz w:val="24"/>
                <w:highlight w:val="none"/>
                <w:lang w:val="en-US" w:eastAsia="zh-CN" w:bidi="ar"/>
              </w:rPr>
              <w:t>4</w:t>
            </w:r>
            <w:r>
              <w:rPr>
                <w:rFonts w:hint="eastAsia" w:asciiTheme="minorEastAsia" w:hAnsiTheme="minorEastAsia" w:eastAsiaTheme="minorEastAsia" w:cstheme="minorEastAsia"/>
                <w:color w:val="auto"/>
                <w:kern w:val="0"/>
                <w:sz w:val="24"/>
                <w:highlight w:val="none"/>
                <w:lang w:bidi="ar"/>
              </w:rPr>
              <w:t>分）：具</w:t>
            </w:r>
            <w:r>
              <w:rPr>
                <w:rFonts w:hint="eastAsia" w:asciiTheme="minorEastAsia" w:hAnsiTheme="minorEastAsia" w:eastAsiaTheme="minorEastAsia" w:cstheme="minorEastAsia"/>
                <w:color w:val="auto"/>
                <w:kern w:val="0"/>
                <w:sz w:val="24"/>
                <w:lang w:bidi="ar"/>
              </w:rPr>
              <w:t>备基本信息展示及发布功能，支持简单在线咨询与合作对接。</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3.一般（0-</w:t>
            </w:r>
            <w:r>
              <w:rPr>
                <w:rFonts w:hint="eastAsia" w:asciiTheme="minorEastAsia" w:hAnsiTheme="minorEastAsia" w:eastAsiaTheme="minorEastAsia" w:cstheme="minorEastAsia"/>
                <w:color w:val="auto"/>
                <w:kern w:val="0"/>
                <w:sz w:val="24"/>
                <w:lang w:val="en-US" w:eastAsia="zh-CN" w:bidi="ar"/>
              </w:rPr>
              <w:t>1</w:t>
            </w:r>
            <w:r>
              <w:rPr>
                <w:rFonts w:hint="eastAsia" w:asciiTheme="minorEastAsia" w:hAnsiTheme="minorEastAsia" w:eastAsiaTheme="minorEastAsia" w:cstheme="minorEastAsia"/>
                <w:color w:val="auto"/>
                <w:kern w:val="0"/>
                <w:sz w:val="24"/>
                <w:lang w:bidi="ar"/>
              </w:rPr>
              <w:t>分）：信息展示混乱，发布功能繁琐，缺乏有效的咨询对接渠道。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2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活动管理</w:t>
            </w:r>
          </w:p>
        </w:tc>
        <w:tc>
          <w:tcPr>
            <w:tcW w:w="50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1.优秀（</w:t>
            </w:r>
            <w:r>
              <w:rPr>
                <w:rFonts w:hint="eastAsia" w:asciiTheme="minorEastAsia" w:hAnsiTheme="minorEastAsia" w:eastAsiaTheme="minorEastAsia" w:cstheme="minorEastAsia"/>
                <w:color w:val="auto"/>
                <w:kern w:val="0"/>
                <w:sz w:val="24"/>
                <w:lang w:val="en-US" w:eastAsia="zh-CN" w:bidi="ar"/>
              </w:rPr>
              <w:t>3-4</w:t>
            </w:r>
            <w:r>
              <w:rPr>
                <w:rFonts w:hint="eastAsia" w:asciiTheme="minorEastAsia" w:hAnsiTheme="minorEastAsia" w:eastAsiaTheme="minorEastAsia" w:cstheme="minorEastAsia"/>
                <w:color w:val="auto"/>
                <w:kern w:val="0"/>
                <w:sz w:val="24"/>
                <w:lang w:bidi="ar"/>
              </w:rPr>
              <w:t>分）：完整实现报名、通知、签到等功能，数据沉淀规范，成功打通抖音、小红书等新媒体直播平台留资通道，实现信息采集与统一管理。</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2.良好（</w:t>
            </w:r>
            <w:r>
              <w:rPr>
                <w:rFonts w:hint="eastAsia" w:asciiTheme="minorEastAsia" w:hAnsiTheme="minorEastAsia" w:eastAsiaTheme="minorEastAsia" w:cstheme="minorEastAsia"/>
                <w:color w:val="auto"/>
                <w:kern w:val="0"/>
                <w:sz w:val="24"/>
                <w:lang w:val="en-US" w:eastAsia="zh-CN" w:bidi="ar"/>
              </w:rPr>
              <w:t>1-2</w:t>
            </w:r>
            <w:r>
              <w:rPr>
                <w:rFonts w:hint="eastAsia" w:asciiTheme="minorEastAsia" w:hAnsiTheme="minorEastAsia" w:eastAsiaTheme="minorEastAsia" w:cstheme="minorEastAsia"/>
                <w:color w:val="auto"/>
                <w:kern w:val="0"/>
                <w:sz w:val="24"/>
                <w:lang w:bidi="ar"/>
              </w:rPr>
              <w:t>分）：具备核心活动管理功能，数据沉淀基本规范，初步对接部分新媒体平台留资通道。</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3.一般（0分）：活动管理功能不完善，数据沉淀混乱，未对接新媒体平台留资通道。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2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客户管理模块（CRM系统）数据归集与分析</w:t>
            </w:r>
          </w:p>
        </w:tc>
        <w:tc>
          <w:tcPr>
            <w:tcW w:w="50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numPr>
                <w:ilvl w:val="0"/>
                <w:numId w:val="1"/>
              </w:numPr>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优秀（4-5分）：全面接入各渠道客户数据，构建完善的客户管理体系，支持多维度业务分类、精准服务追踪、深度需求分析及行为预测，决策支撑能力强。</w:t>
            </w:r>
          </w:p>
          <w:p>
            <w:pPr>
              <w:keepNext w:val="0"/>
              <w:keepLines w:val="0"/>
              <w:pageBreakBefore w:val="0"/>
              <w:widowControl/>
              <w:numPr>
                <w:ilvl w:val="0"/>
                <w:numId w:val="1"/>
              </w:numPr>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2.良好（2-3分）：接入主要渠道客户数据，建立基本客户管理体系，支持基础业务分类与服务追踪。</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left"/>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3.一般（0-1分）</w:t>
            </w:r>
            <w:r>
              <w:rPr>
                <w:rFonts w:hint="eastAsia" w:asciiTheme="minorEastAsia" w:hAnsiTheme="minorEastAsia" w:eastAsiaTheme="minorEastAsia" w:cstheme="minorEastAsia"/>
                <w:color w:val="auto"/>
                <w:kern w:val="0"/>
                <w:sz w:val="24"/>
                <w:lang w:eastAsia="zh-CN" w:bidi="ar"/>
              </w:rPr>
              <w:t>：</w:t>
            </w:r>
            <w:r>
              <w:rPr>
                <w:rFonts w:hint="eastAsia" w:asciiTheme="minorEastAsia" w:hAnsiTheme="minorEastAsia" w:eastAsiaTheme="minorEastAsia" w:cstheme="minorEastAsia"/>
                <w:color w:val="auto"/>
                <w:kern w:val="0"/>
                <w:sz w:val="24"/>
                <w:lang w:bidi="ar"/>
              </w:rPr>
              <w:t>数据接入不全面，客户管理体系不完善，缺乏有效分析与决策支撑功能。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kern w:val="2"/>
                <w:sz w:val="24"/>
                <w:szCs w:val="24"/>
                <w:lang w:val="en-US" w:eastAsia="zh-CN" w:bidi="ar-SA"/>
              </w:rPr>
            </w:pPr>
          </w:p>
        </w:tc>
      </w:tr>
      <w:tr>
        <w:tblPrEx>
          <w:tblCellMar>
            <w:top w:w="0" w:type="dxa"/>
            <w:left w:w="108" w:type="dxa"/>
            <w:bottom w:w="0" w:type="dxa"/>
            <w:right w:w="108" w:type="dxa"/>
          </w:tblCellMar>
        </w:tblPrEx>
        <w:trPr>
          <w:trHeight w:val="27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日常技术维护及应急响应</w:t>
            </w:r>
          </w:p>
        </w:tc>
        <w:tc>
          <w:tcPr>
            <w:tcW w:w="50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eastAsia="zh-CN" w:bidi="ar"/>
              </w:rPr>
            </w:pPr>
            <w:r>
              <w:rPr>
                <w:rFonts w:hint="eastAsia" w:asciiTheme="minorEastAsia" w:hAnsiTheme="minorEastAsia" w:eastAsiaTheme="minorEastAsia" w:cstheme="minorEastAsia"/>
                <w:color w:val="auto"/>
                <w:kern w:val="0"/>
                <w:sz w:val="24"/>
                <w:lang w:bidi="ar"/>
              </w:rPr>
              <w:t>1</w:t>
            </w:r>
            <w:r>
              <w:rPr>
                <w:rFonts w:hint="eastAsia" w:asciiTheme="minorEastAsia" w:hAnsiTheme="minorEastAsia" w:eastAsiaTheme="minorEastAsia" w:cstheme="minorEastAsia"/>
                <w:color w:val="auto"/>
                <w:kern w:val="0"/>
                <w:sz w:val="24"/>
                <w:highlight w:val="none"/>
                <w:lang w:bidi="ar"/>
              </w:rPr>
              <w:t>.优秀（</w:t>
            </w:r>
            <w:r>
              <w:rPr>
                <w:rFonts w:hint="eastAsia" w:asciiTheme="minorEastAsia" w:hAnsiTheme="minorEastAsia" w:eastAsiaTheme="minorEastAsia" w:cstheme="minorEastAsia"/>
                <w:color w:val="auto"/>
                <w:kern w:val="0"/>
                <w:sz w:val="24"/>
                <w:highlight w:val="none"/>
                <w:lang w:val="en-US" w:eastAsia="zh-CN" w:bidi="ar"/>
              </w:rPr>
              <w:t>3</w:t>
            </w:r>
            <w:r>
              <w:rPr>
                <w:rFonts w:hint="eastAsia" w:asciiTheme="minorEastAsia" w:hAnsiTheme="minorEastAsia" w:eastAsiaTheme="minorEastAsia" w:cstheme="minorEastAsia"/>
                <w:color w:val="auto"/>
                <w:kern w:val="0"/>
                <w:sz w:val="24"/>
                <w:highlight w:val="none"/>
                <w:lang w:bidi="ar"/>
              </w:rPr>
              <w:t>分）：应急响应机制完善，系统问题12小时内到场修复，大型活动前专属人员全面调试，确保高并发稳定运行，维护方案细致。</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eastAsia="zh-CN" w:bidi="ar"/>
              </w:rPr>
            </w:pPr>
            <w:r>
              <w:rPr>
                <w:rFonts w:hint="eastAsia" w:asciiTheme="minorEastAsia" w:hAnsiTheme="minorEastAsia" w:eastAsiaTheme="minorEastAsia" w:cstheme="minorEastAsia"/>
                <w:color w:val="auto"/>
                <w:kern w:val="0"/>
                <w:sz w:val="24"/>
                <w:highlight w:val="none"/>
                <w:lang w:bidi="ar"/>
              </w:rPr>
              <w:t>2.良好（</w:t>
            </w:r>
            <w:r>
              <w:rPr>
                <w:rFonts w:hint="eastAsia" w:asciiTheme="minorEastAsia" w:hAnsiTheme="minorEastAsia" w:eastAsiaTheme="minorEastAsia" w:cstheme="minorEastAsia"/>
                <w:color w:val="auto"/>
                <w:kern w:val="0"/>
                <w:sz w:val="24"/>
                <w:highlight w:val="none"/>
                <w:lang w:val="en-US" w:eastAsia="zh-CN" w:bidi="ar"/>
              </w:rPr>
              <w:t>1</w:t>
            </w:r>
            <w:r>
              <w:rPr>
                <w:rFonts w:hint="eastAsia" w:asciiTheme="minorEastAsia" w:hAnsiTheme="minorEastAsia" w:eastAsiaTheme="minorEastAsia" w:cstheme="minorEastAsia"/>
                <w:color w:val="auto"/>
                <w:kern w:val="0"/>
                <w:sz w:val="24"/>
                <w:highlight w:val="none"/>
                <w:lang w:bidi="ar"/>
              </w:rPr>
              <w:t>-</w:t>
            </w:r>
            <w:r>
              <w:rPr>
                <w:rFonts w:hint="eastAsia" w:asciiTheme="minorEastAsia" w:hAnsiTheme="minorEastAsia" w:eastAsiaTheme="minorEastAsia" w:cstheme="minorEastAsia"/>
                <w:color w:val="auto"/>
                <w:kern w:val="0"/>
                <w:sz w:val="24"/>
                <w:highlight w:val="none"/>
                <w:lang w:val="en-US" w:eastAsia="zh-CN" w:bidi="ar"/>
              </w:rPr>
              <w:t>2</w:t>
            </w:r>
            <w:r>
              <w:rPr>
                <w:rFonts w:hint="eastAsia" w:asciiTheme="minorEastAsia" w:hAnsiTheme="minorEastAsia" w:eastAsiaTheme="minorEastAsia" w:cstheme="minorEastAsia"/>
                <w:color w:val="auto"/>
                <w:kern w:val="0"/>
                <w:sz w:val="24"/>
                <w:highlight w:val="none"/>
                <w:lang w:bidi="ar"/>
              </w:rPr>
              <w:t>分）：建立应急响应机制，系统问题24小时内到场修复，大型活动前有基本调试安排。</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highlight w:val="none"/>
                <w:lang w:bidi="ar"/>
              </w:rPr>
              <w:t>3.一般（0分）：应急响应机制缺失，维护保障能力不足，无法确保系统稳定运行。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kern w:val="2"/>
                <w:sz w:val="24"/>
                <w:szCs w:val="24"/>
                <w:lang w:val="en-US" w:eastAsia="zh-CN" w:bidi="ar-SA"/>
              </w:rPr>
            </w:pPr>
          </w:p>
        </w:tc>
      </w:tr>
      <w:tr>
        <w:tblPrEx>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Theme="minorEastAsia" w:hAnsiTheme="minorEastAsia" w:eastAsiaTheme="minorEastAsia" w:cstheme="minorEastAsia"/>
                <w:color w:val="auto"/>
                <w:sz w:val="24"/>
                <w:lang w:eastAsia="zh-CN"/>
              </w:rPr>
            </w:pPr>
            <w:r>
              <w:rPr>
                <w:rFonts w:hint="eastAsia" w:asciiTheme="minorEastAsia" w:hAnsiTheme="minorEastAsia" w:eastAsiaTheme="minorEastAsia" w:cstheme="minorEastAsia"/>
                <w:color w:val="auto"/>
                <w:sz w:val="24"/>
                <w:lang w:eastAsia="zh-CN"/>
              </w:rPr>
              <w:t>‘’</w:t>
            </w: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外贸综合服务平台接入</w:t>
            </w:r>
          </w:p>
        </w:tc>
        <w:tc>
          <w:tcPr>
            <w:tcW w:w="50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1.优秀（2分）：支持接入或内置轻量级外贸综合服务平台，实现两项公共服务模块功能，服务流程顺畅。</w:t>
            </w:r>
          </w:p>
          <w:p>
            <w:pPr>
              <w:keepNext w:val="0"/>
              <w:keepLines w:val="0"/>
              <w:pageBreakBefore w:val="0"/>
              <w:kinsoku/>
              <w:wordWrap/>
              <w:overflowPunct/>
              <w:topLinePunct w:val="0"/>
              <w:autoSpaceDE/>
              <w:autoSpaceDN/>
              <w:bidi w:val="0"/>
              <w:adjustRightInd/>
              <w:snapToGrid/>
              <w:spacing w:line="400" w:lineRule="exact"/>
              <w:jc w:val="lef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2.良好（1分）：实现一项公共服务模块功能。</w:t>
            </w:r>
          </w:p>
          <w:p>
            <w:pPr>
              <w:keepNext w:val="0"/>
              <w:keepLines w:val="0"/>
              <w:pageBreakBefore w:val="0"/>
              <w:kinsoku/>
              <w:wordWrap/>
              <w:overflowPunct/>
              <w:topLinePunct w:val="0"/>
              <w:autoSpaceDE/>
              <w:autoSpaceDN/>
              <w:bidi w:val="0"/>
              <w:adjustRightInd/>
              <w:snapToGrid/>
              <w:spacing w:line="400" w:lineRule="exact"/>
              <w:jc w:val="lef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3.一般（0分）：未实现相关功能。</w:t>
            </w:r>
          </w:p>
        </w:tc>
        <w:tc>
          <w:tcPr>
            <w:tcW w:w="0" w:type="auto"/>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420" w:hRule="atLeast"/>
        </w:trPr>
        <w:tc>
          <w:tcPr>
            <w:tcW w:w="0" w:type="auto"/>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东盟小语种有关服务</w:t>
            </w:r>
          </w:p>
        </w:tc>
        <w:tc>
          <w:tcPr>
            <w:tcW w:w="50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lef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1.优秀（5-6分）：支持中文、英语、泰语、越南语等东盟小语种实时文本互译，实现场景化语言适配，接入东盟小语种培训平台，支持课程发布、在线报名等服务。</w:t>
            </w:r>
          </w:p>
          <w:p>
            <w:pPr>
              <w:keepNext w:val="0"/>
              <w:keepLines w:val="0"/>
              <w:pageBreakBefore w:val="0"/>
              <w:kinsoku/>
              <w:wordWrap/>
              <w:overflowPunct/>
              <w:topLinePunct w:val="0"/>
              <w:autoSpaceDE/>
              <w:autoSpaceDN/>
              <w:bidi w:val="0"/>
              <w:adjustRightInd/>
              <w:snapToGrid/>
              <w:spacing w:line="400" w:lineRule="exact"/>
              <w:jc w:val="lef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2.良好（2-4分）：支持两项东盟小语种相关服务的接入与延展。</w:t>
            </w:r>
          </w:p>
          <w:p>
            <w:pPr>
              <w:keepNext w:val="0"/>
              <w:keepLines w:val="0"/>
              <w:pageBreakBefore w:val="0"/>
              <w:kinsoku/>
              <w:wordWrap/>
              <w:overflowPunct/>
              <w:topLinePunct w:val="0"/>
              <w:autoSpaceDE/>
              <w:autoSpaceDN/>
              <w:bidi w:val="0"/>
              <w:adjustRightInd/>
              <w:snapToGrid/>
              <w:spacing w:line="400" w:lineRule="exact"/>
              <w:jc w:val="left"/>
              <w:rPr>
                <w:rFonts w:hint="default"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3.一般（0-1分）：仅支持一项简单服务或无相关服务支持。</w:t>
            </w:r>
          </w:p>
        </w:tc>
        <w:tc>
          <w:tcPr>
            <w:tcW w:w="0" w:type="auto"/>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default"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heme="minorEastAsia" w:hAnsiTheme="minorEastAsia" w:eastAsiaTheme="minorEastAsia" w:cstheme="minorEastAsia"/>
                <w:color w:val="auto"/>
                <w:kern w:val="2"/>
                <w:sz w:val="24"/>
                <w:szCs w:val="24"/>
                <w:lang w:val="en-US" w:eastAsia="zh-CN" w:bidi="ar-SA"/>
              </w:rPr>
            </w:pPr>
          </w:p>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1760" w:hRule="atLeast"/>
        </w:trPr>
        <w:tc>
          <w:tcPr>
            <w:tcW w:w="0" w:type="auto"/>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Theme="minorEastAsia" w:hAnsiTheme="minorEastAsia" w:eastAsiaTheme="minorEastAsia" w:cstheme="minorEastAsia"/>
                <w:color w:val="auto"/>
                <w:kern w:val="2"/>
                <w:sz w:val="24"/>
                <w:szCs w:val="24"/>
                <w:lang w:val="en-US" w:eastAsia="zh-CN" w:bidi="ar-SA"/>
              </w:rPr>
            </w:pPr>
          </w:p>
        </w:tc>
        <w:tc>
          <w:tcPr>
            <w:tcW w:w="50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kern w:val="2"/>
                <w:sz w:val="24"/>
                <w:szCs w:val="24"/>
                <w:lang w:val="en-US" w:eastAsia="zh-CN" w:bidi="ar-SA"/>
              </w:rPr>
            </w:pPr>
          </w:p>
        </w:tc>
        <w:tc>
          <w:tcPr>
            <w:tcW w:w="0" w:type="auto"/>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heme="minorEastAsia" w:hAnsiTheme="minorEastAsia" w:eastAsiaTheme="minorEastAsia" w:cstheme="minorEastAsia"/>
                <w:color w:val="auto"/>
                <w:kern w:val="2"/>
                <w:sz w:val="24"/>
                <w:szCs w:val="24"/>
                <w:lang w:val="en-US" w:eastAsia="zh-CN" w:bidi="ar-SA"/>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heme="minorEastAsia" w:hAnsiTheme="minorEastAsia" w:eastAsiaTheme="minorEastAsia" w:cstheme="minorEastAsia"/>
                <w:color w:val="auto"/>
                <w:kern w:val="2"/>
                <w:sz w:val="24"/>
                <w:szCs w:val="24"/>
                <w:lang w:val="en-US" w:eastAsia="zh-CN" w:bidi="ar-SA"/>
              </w:rPr>
            </w:pPr>
          </w:p>
        </w:tc>
      </w:tr>
      <w:tr>
        <w:tblPrEx>
          <w:tblCellMar>
            <w:top w:w="0" w:type="dxa"/>
            <w:left w:w="108" w:type="dxa"/>
            <w:bottom w:w="0" w:type="dxa"/>
            <w:right w:w="108" w:type="dxa"/>
          </w:tblCellMar>
        </w:tblPrEx>
        <w:trPr>
          <w:trHeight w:val="2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项目分阶段实施计划</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
              </w:numPr>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highlight w:val="none"/>
                <w:lang w:bidi="ar"/>
              </w:rPr>
              <w:t>优秀（</w:t>
            </w:r>
            <w:r>
              <w:rPr>
                <w:rFonts w:hint="eastAsia" w:asciiTheme="minorEastAsia" w:hAnsiTheme="minorEastAsia" w:eastAsiaTheme="minorEastAsia" w:cstheme="minorEastAsia"/>
                <w:color w:val="auto"/>
                <w:kern w:val="0"/>
                <w:sz w:val="24"/>
                <w:highlight w:val="none"/>
                <w:lang w:val="en-US" w:eastAsia="zh-CN" w:bidi="ar"/>
              </w:rPr>
              <w:t>3</w:t>
            </w:r>
            <w:r>
              <w:rPr>
                <w:rFonts w:hint="eastAsia" w:asciiTheme="minorEastAsia" w:hAnsiTheme="minorEastAsia" w:eastAsiaTheme="minorEastAsia" w:cstheme="minorEastAsia"/>
                <w:color w:val="auto"/>
                <w:kern w:val="0"/>
                <w:sz w:val="24"/>
                <w:highlight w:val="none"/>
                <w:lang w:bidi="ar"/>
              </w:rPr>
              <w:t>分）：</w:t>
            </w:r>
            <w:r>
              <w:rPr>
                <w:rFonts w:hint="eastAsia" w:asciiTheme="minorEastAsia" w:hAnsiTheme="minorEastAsia" w:eastAsiaTheme="minorEastAsia" w:cstheme="minorEastAsia"/>
                <w:color w:val="auto"/>
                <w:kern w:val="0"/>
                <w:sz w:val="24"/>
                <w:lang w:bidi="ar"/>
              </w:rPr>
              <w:t>实施计划清晰详尽，时间节</w:t>
            </w:r>
            <w:r>
              <w:rPr>
                <w:rFonts w:hint="eastAsia" w:asciiTheme="minorEastAsia" w:hAnsiTheme="minorEastAsia" w:eastAsiaTheme="minorEastAsia" w:cstheme="minorEastAsia"/>
                <w:color w:val="auto"/>
                <w:kern w:val="0"/>
                <w:sz w:val="24"/>
                <w:highlight w:val="none"/>
                <w:lang w:bidi="ar"/>
              </w:rPr>
              <w:t>点精准，保障2026年</w:t>
            </w:r>
            <w:r>
              <w:rPr>
                <w:rFonts w:hint="eastAsia" w:asciiTheme="minorEastAsia" w:hAnsiTheme="minorEastAsia" w:eastAsiaTheme="minorEastAsia" w:cstheme="minorEastAsia"/>
                <w:color w:val="auto"/>
                <w:kern w:val="0"/>
                <w:sz w:val="24"/>
                <w:highlight w:val="none"/>
                <w:lang w:val="en-US" w:eastAsia="zh-CN" w:bidi="ar"/>
              </w:rPr>
              <w:t>1</w:t>
            </w:r>
            <w:r>
              <w:rPr>
                <w:rFonts w:hint="eastAsia" w:asciiTheme="minorEastAsia" w:hAnsiTheme="minorEastAsia" w:eastAsiaTheme="minorEastAsia" w:cstheme="minorEastAsia"/>
                <w:color w:val="auto"/>
                <w:kern w:val="0"/>
                <w:sz w:val="24"/>
                <w:highlight w:val="none"/>
                <w:lang w:bidi="ar"/>
              </w:rPr>
              <w:t>0月30日完成平台上线，202</w:t>
            </w:r>
            <w:r>
              <w:rPr>
                <w:rFonts w:hint="eastAsia" w:asciiTheme="minorEastAsia" w:hAnsiTheme="minorEastAsia" w:eastAsiaTheme="minorEastAsia" w:cstheme="minorEastAsia"/>
                <w:color w:val="auto"/>
                <w:kern w:val="0"/>
                <w:sz w:val="24"/>
                <w:highlight w:val="none"/>
                <w:lang w:val="en-US" w:eastAsia="zh-CN" w:bidi="ar"/>
              </w:rPr>
              <w:t>6年12月10日</w:t>
            </w:r>
            <w:r>
              <w:rPr>
                <w:rFonts w:hint="eastAsia" w:asciiTheme="minorEastAsia" w:hAnsiTheme="minorEastAsia" w:eastAsiaTheme="minorEastAsia" w:cstheme="minorEastAsia"/>
                <w:color w:val="auto"/>
                <w:kern w:val="0"/>
                <w:sz w:val="24"/>
                <w:highlight w:val="none"/>
                <w:lang w:bidi="ar"/>
              </w:rPr>
              <w:t>完成全部交付验收</w:t>
            </w:r>
            <w:r>
              <w:rPr>
                <w:rFonts w:hint="eastAsia" w:asciiTheme="minorEastAsia" w:hAnsiTheme="minorEastAsia" w:eastAsiaTheme="minorEastAsia" w:cstheme="minorEastAsia"/>
                <w:color w:val="auto"/>
                <w:kern w:val="0"/>
                <w:sz w:val="24"/>
                <w:highlight w:val="none"/>
                <w:lang w:eastAsia="zh-CN" w:bidi="ar"/>
              </w:rPr>
              <w:t>。</w:t>
            </w:r>
            <w:r>
              <w:rPr>
                <w:rFonts w:hint="eastAsia" w:asciiTheme="minorEastAsia" w:hAnsiTheme="minorEastAsia" w:eastAsiaTheme="minorEastAsia" w:cstheme="minorEastAsia"/>
                <w:color w:val="auto"/>
                <w:kern w:val="0"/>
                <w:sz w:val="24"/>
                <w:highlight w:val="none"/>
                <w:lang w:val="en-US" w:eastAsia="zh-CN" w:bidi="ar"/>
              </w:rPr>
              <w:t>模块</w:t>
            </w:r>
            <w:r>
              <w:rPr>
                <w:rFonts w:hint="eastAsia" w:asciiTheme="minorEastAsia" w:hAnsiTheme="minorEastAsia" w:eastAsiaTheme="minorEastAsia" w:cstheme="minorEastAsia"/>
                <w:color w:val="auto"/>
                <w:kern w:val="0"/>
                <w:sz w:val="24"/>
                <w:highlight w:val="none"/>
                <w:lang w:bidi="ar"/>
              </w:rPr>
              <w:t>上</w:t>
            </w:r>
            <w:r>
              <w:rPr>
                <w:rFonts w:hint="eastAsia" w:asciiTheme="minorEastAsia" w:hAnsiTheme="minorEastAsia" w:eastAsiaTheme="minorEastAsia" w:cstheme="minorEastAsia"/>
                <w:color w:val="auto"/>
                <w:kern w:val="0"/>
                <w:sz w:val="24"/>
                <w:lang w:bidi="ar"/>
              </w:rPr>
              <w:t>线时间明确，责任分工具体到人。</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2.</w:t>
            </w:r>
            <w:r>
              <w:rPr>
                <w:rFonts w:hint="eastAsia" w:asciiTheme="minorEastAsia" w:hAnsiTheme="minorEastAsia" w:eastAsiaTheme="minorEastAsia" w:cstheme="minorEastAsia"/>
                <w:color w:val="auto"/>
                <w:kern w:val="0"/>
                <w:sz w:val="24"/>
                <w:highlight w:val="none"/>
                <w:lang w:bidi="ar"/>
              </w:rPr>
              <w:t>良好（</w:t>
            </w:r>
            <w:r>
              <w:rPr>
                <w:rFonts w:hint="eastAsia" w:asciiTheme="minorEastAsia" w:hAnsiTheme="minorEastAsia" w:eastAsiaTheme="minorEastAsia" w:cstheme="minorEastAsia"/>
                <w:color w:val="auto"/>
                <w:kern w:val="0"/>
                <w:sz w:val="24"/>
                <w:highlight w:val="none"/>
                <w:lang w:val="en-US" w:eastAsia="zh-CN" w:bidi="ar"/>
              </w:rPr>
              <w:t>1-2</w:t>
            </w:r>
            <w:r>
              <w:rPr>
                <w:rFonts w:hint="eastAsia" w:asciiTheme="minorEastAsia" w:hAnsiTheme="minorEastAsia" w:eastAsiaTheme="minorEastAsia" w:cstheme="minorEastAsia"/>
                <w:color w:val="auto"/>
                <w:kern w:val="0"/>
                <w:sz w:val="24"/>
                <w:highlight w:val="none"/>
                <w:lang w:bidi="ar"/>
              </w:rPr>
              <w:t>分）：</w:t>
            </w:r>
            <w:r>
              <w:rPr>
                <w:rFonts w:hint="eastAsia" w:asciiTheme="minorEastAsia" w:hAnsiTheme="minorEastAsia" w:eastAsiaTheme="minorEastAsia" w:cstheme="minorEastAsia"/>
                <w:color w:val="auto"/>
                <w:kern w:val="0"/>
                <w:sz w:val="24"/>
                <w:lang w:bidi="ar"/>
              </w:rPr>
              <w:t>实施计划较清晰，时间节点基本明确，能满足一期建设时限要求，责任分工较清晰。</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3.一般（0分）：实施计划混乱，时间节点模糊，无法保障一期建设时限，责任分工不明确。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sz w:val="24"/>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kern w:val="2"/>
                <w:sz w:val="24"/>
                <w:szCs w:val="24"/>
                <w:lang w:val="en-US" w:eastAsia="zh-CN" w:bidi="ar-SA"/>
              </w:rPr>
            </w:pPr>
          </w:p>
        </w:tc>
      </w:tr>
      <w:tr>
        <w:tblPrEx>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复盘与迭代机制</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1.优秀（</w:t>
            </w:r>
            <w:r>
              <w:rPr>
                <w:rFonts w:hint="eastAsia" w:asciiTheme="minorEastAsia" w:hAnsiTheme="minorEastAsia" w:eastAsiaTheme="minorEastAsia" w:cstheme="minorEastAsia"/>
                <w:color w:val="auto"/>
                <w:kern w:val="0"/>
                <w:sz w:val="24"/>
                <w:lang w:val="en-US" w:eastAsia="zh-CN" w:bidi="ar"/>
              </w:rPr>
              <w:t>3</w:t>
            </w:r>
            <w:r>
              <w:rPr>
                <w:rFonts w:hint="eastAsia" w:asciiTheme="minorEastAsia" w:hAnsiTheme="minorEastAsia" w:eastAsiaTheme="minorEastAsia" w:cstheme="minorEastAsia"/>
                <w:color w:val="auto"/>
                <w:kern w:val="0"/>
                <w:sz w:val="24"/>
                <w:lang w:bidi="ar"/>
              </w:rPr>
              <w:t>分）：建立科学完善的复盘机制，每月全面复盘平台功能、运行稳定性及企业反馈，迭代优化方案具体可行，有明确的优化周期。</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2.良好（1</w:t>
            </w:r>
            <w:r>
              <w:rPr>
                <w:rFonts w:hint="eastAsia" w:asciiTheme="minorEastAsia" w:hAnsiTheme="minorEastAsia" w:eastAsiaTheme="minorEastAsia" w:cstheme="minorEastAsia"/>
                <w:color w:val="auto"/>
                <w:kern w:val="0"/>
                <w:sz w:val="24"/>
                <w:lang w:val="en-US" w:eastAsia="zh-CN" w:bidi="ar"/>
              </w:rPr>
              <w:t>-2</w:t>
            </w:r>
            <w:r>
              <w:rPr>
                <w:rFonts w:hint="eastAsia" w:asciiTheme="minorEastAsia" w:hAnsiTheme="minorEastAsia" w:eastAsiaTheme="minorEastAsia" w:cstheme="minorEastAsia"/>
                <w:color w:val="auto"/>
                <w:kern w:val="0"/>
                <w:sz w:val="24"/>
                <w:lang w:bidi="ar"/>
              </w:rPr>
              <w:t>分）：建立基本复盘机制，定期复盘核心内容，提出初步迭代优化思路。</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bidi="ar"/>
              </w:rPr>
              <w:t>3.一般（0分）：无明确复盘机制，缺乏迭代优化规划。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kern w:val="2"/>
                <w:sz w:val="24"/>
                <w:szCs w:val="24"/>
                <w:lang w:val="en-US" w:eastAsia="zh-CN" w:bidi="ar-SA"/>
              </w:rPr>
            </w:pPr>
          </w:p>
        </w:tc>
      </w:tr>
      <w:tr>
        <w:tblPrEx>
          <w:tblCellMar>
            <w:top w:w="0" w:type="dxa"/>
            <w:left w:w="108" w:type="dxa"/>
            <w:bottom w:w="0" w:type="dxa"/>
            <w:right w:w="108" w:type="dxa"/>
          </w:tblCellMar>
        </w:tblPrEx>
        <w:trPr>
          <w:trHeight w:val="1620" w:hRule="atLeast"/>
        </w:trPr>
        <w:tc>
          <w:tcPr>
            <w:tcW w:w="1875" w:type="dxa"/>
            <w:vMerge w:val="restart"/>
            <w:tcBorders>
              <w:top w:val="single" w:color="auto" w:sz="4" w:space="0"/>
              <w:left w:val="single" w:color="auto" w:sz="4" w:space="0"/>
              <w:right w:val="single" w:color="auto" w:sz="4" w:space="0"/>
            </w:tcBorders>
            <w:shd w:val="clear" w:color="auto" w:fill="auto"/>
            <w:vAlign w:val="center"/>
          </w:tcPr>
          <w:p>
            <w:pPr>
              <w:numPr>
                <w:ilvl w:val="0"/>
                <w:numId w:val="0"/>
              </w:numPr>
              <w:bidi w:val="0"/>
              <w:jc w:val="center"/>
              <w:rPr>
                <w:rFonts w:hint="default"/>
                <w:color w:val="auto"/>
                <w:sz w:val="24"/>
                <w:szCs w:val="24"/>
                <w:highlight w:val="none"/>
                <w:lang w:val="en-US" w:eastAsia="zh-CN"/>
              </w:rPr>
            </w:pPr>
            <w:r>
              <w:rPr>
                <w:rFonts w:hint="default"/>
                <w:color w:val="auto"/>
                <w:sz w:val="24"/>
                <w:szCs w:val="24"/>
                <w:highlight w:val="none"/>
                <w:lang w:val="en-US" w:eastAsia="zh-CN"/>
              </w:rPr>
              <w:t>技术能力与项目经验</w:t>
            </w:r>
          </w:p>
          <w:p>
            <w:pPr>
              <w:numPr>
                <w:ilvl w:val="0"/>
                <w:numId w:val="0"/>
              </w:numPr>
              <w:bidi w:val="0"/>
              <w:jc w:val="center"/>
              <w:rPr>
                <w:rFonts w:hint="default"/>
                <w:color w:val="auto"/>
                <w:sz w:val="24"/>
                <w:szCs w:val="24"/>
                <w:highlight w:val="none"/>
                <w:lang w:val="en-US" w:eastAsia="zh-CN"/>
              </w:rPr>
            </w:pPr>
            <w:r>
              <w:rPr>
                <w:rFonts w:hint="eastAsia"/>
                <w:color w:val="auto"/>
                <w:sz w:val="24"/>
                <w:szCs w:val="24"/>
                <w:highlight w:val="none"/>
                <w:lang w:val="en-US" w:eastAsia="zh-CN"/>
              </w:rPr>
              <w:t>（15分）</w:t>
            </w:r>
          </w:p>
        </w:tc>
        <w:tc>
          <w:tcPr>
            <w:tcW w:w="1364" w:type="dxa"/>
            <w:tcBorders>
              <w:top w:val="single" w:color="000000" w:sz="4" w:space="0"/>
              <w:left w:val="single" w:color="auto" w:sz="4" w:space="0"/>
              <w:bottom w:val="single" w:color="000000" w:sz="4" w:space="0"/>
              <w:right w:val="single" w:color="000000" w:sz="4" w:space="0"/>
            </w:tcBorders>
            <w:shd w:val="clear" w:color="auto" w:fill="auto"/>
            <w:vAlign w:val="center"/>
          </w:tcPr>
          <w:p>
            <w:pPr>
              <w:numPr>
                <w:ilvl w:val="0"/>
                <w:numId w:val="0"/>
              </w:numPr>
              <w:bidi w:val="0"/>
              <w:jc w:val="center"/>
              <w:rPr>
                <w:rFonts w:hint="default"/>
                <w:color w:val="auto"/>
                <w:sz w:val="24"/>
                <w:szCs w:val="24"/>
                <w:highlight w:val="none"/>
                <w:lang w:val="en-US" w:eastAsia="zh-CN"/>
              </w:rPr>
            </w:pPr>
            <w:r>
              <w:rPr>
                <w:rFonts w:hint="default"/>
                <w:color w:val="auto"/>
                <w:sz w:val="24"/>
                <w:szCs w:val="24"/>
                <w:highlight w:val="none"/>
                <w:lang w:val="en-US" w:eastAsia="zh-CN"/>
              </w:rPr>
              <w:t>人工智能</w:t>
            </w:r>
            <w:r>
              <w:rPr>
                <w:rFonts w:hint="eastAsia"/>
                <w:color w:val="auto"/>
                <w:sz w:val="24"/>
                <w:szCs w:val="24"/>
                <w:highlight w:val="none"/>
                <w:lang w:val="en-US" w:eastAsia="zh-CN"/>
              </w:rPr>
              <w:t>创新能力</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400" w:lineRule="exact"/>
              <w:rPr>
                <w:rFonts w:hint="eastAsia"/>
                <w:color w:val="auto"/>
                <w:sz w:val="24"/>
                <w:szCs w:val="24"/>
                <w:highlight w:val="none"/>
                <w:lang w:val="en-US" w:eastAsia="zh-CN"/>
              </w:rPr>
            </w:pPr>
            <w:r>
              <w:rPr>
                <w:rFonts w:hint="eastAsia"/>
                <w:color w:val="auto"/>
                <w:sz w:val="24"/>
                <w:szCs w:val="24"/>
                <w:highlight w:val="none"/>
                <w:lang w:val="en-US" w:eastAsia="zh-CN"/>
              </w:rPr>
              <w:t>投标人或其法定代表人作为参与完成人，荣获省级人工智能学会颁发的人工智能方向科技进步奖项，其中一等奖得10分，二等奖得7分，三等奖得4分。本项最高得10分。其他奖项不计分。（须提供加盖投标人公章的奖项证书复印件、原件评审时备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bidi w:val="0"/>
              <w:rPr>
                <w:rFonts w:hint="default"/>
                <w:color w:val="auto"/>
                <w:sz w:val="24"/>
                <w:szCs w:val="24"/>
                <w:highlight w:val="none"/>
                <w:lang w:val="en-US" w:eastAsia="zh-CN"/>
              </w:rPr>
            </w:pPr>
            <w:r>
              <w:rPr>
                <w:rFonts w:hint="eastAsia"/>
                <w:color w:val="auto"/>
                <w:sz w:val="24"/>
                <w:szCs w:val="24"/>
                <w:highlight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highlight w:val="yellow"/>
              </w:rPr>
            </w:pPr>
          </w:p>
        </w:tc>
      </w:tr>
      <w:tr>
        <w:tblPrEx>
          <w:tblCellMar>
            <w:top w:w="0" w:type="dxa"/>
            <w:left w:w="108" w:type="dxa"/>
            <w:bottom w:w="0" w:type="dxa"/>
            <w:right w:w="108" w:type="dxa"/>
          </w:tblCellMar>
        </w:tblPrEx>
        <w:trPr>
          <w:trHeight w:val="1620" w:hRule="atLeast"/>
        </w:trPr>
        <w:tc>
          <w:tcPr>
            <w:tcW w:w="1875" w:type="dxa"/>
            <w:vMerge w:val="continue"/>
            <w:tcBorders>
              <w:left w:val="single" w:color="auto" w:sz="4" w:space="0"/>
              <w:right w:val="single" w:color="auto" w:sz="4" w:space="0"/>
            </w:tcBorders>
            <w:shd w:val="clear" w:color="auto" w:fill="auto"/>
            <w:vAlign w:val="center"/>
          </w:tcPr>
          <w:p>
            <w:pPr>
              <w:numPr>
                <w:ilvl w:val="0"/>
                <w:numId w:val="0"/>
              </w:numPr>
              <w:bidi w:val="0"/>
              <w:rPr>
                <w:rFonts w:hint="eastAsia"/>
                <w:color w:val="auto"/>
                <w:sz w:val="24"/>
                <w:szCs w:val="24"/>
                <w:highlight w:val="none"/>
                <w:lang w:val="en-US" w:eastAsia="zh-CN"/>
              </w:rPr>
            </w:pPr>
          </w:p>
        </w:tc>
        <w:tc>
          <w:tcPr>
            <w:tcW w:w="1364" w:type="dxa"/>
            <w:tcBorders>
              <w:top w:val="single" w:color="000000" w:sz="4" w:space="0"/>
              <w:left w:val="single" w:color="auto" w:sz="4" w:space="0"/>
              <w:bottom w:val="single" w:color="000000" w:sz="4" w:space="0"/>
              <w:right w:val="single" w:color="000000" w:sz="4" w:space="0"/>
            </w:tcBorders>
            <w:shd w:val="clear" w:color="auto" w:fill="auto"/>
            <w:vAlign w:val="center"/>
          </w:tcPr>
          <w:p>
            <w:pPr>
              <w:numPr>
                <w:ilvl w:val="0"/>
                <w:numId w:val="0"/>
              </w:numPr>
              <w:bidi w:val="0"/>
              <w:jc w:val="center"/>
              <w:rPr>
                <w:rFonts w:hint="default"/>
                <w:color w:val="auto"/>
                <w:sz w:val="24"/>
                <w:szCs w:val="24"/>
                <w:highlight w:val="none"/>
                <w:lang w:val="en-US" w:eastAsia="zh-CN"/>
              </w:rPr>
            </w:pPr>
            <w:r>
              <w:rPr>
                <w:rFonts w:hint="eastAsia"/>
                <w:color w:val="auto"/>
                <w:sz w:val="24"/>
                <w:szCs w:val="24"/>
                <w:highlight w:val="none"/>
                <w:lang w:val="en-US" w:eastAsia="zh-CN"/>
              </w:rPr>
              <w:t>企业信用资信实力</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400" w:lineRule="exact"/>
              <w:rPr>
                <w:rFonts w:hint="default"/>
                <w:color w:val="auto"/>
                <w:sz w:val="24"/>
                <w:szCs w:val="24"/>
                <w:highlight w:val="none"/>
                <w:lang w:val="en-US" w:eastAsia="zh-CN"/>
              </w:rPr>
            </w:pPr>
            <w:r>
              <w:rPr>
                <w:rFonts w:hint="eastAsia"/>
                <w:color w:val="auto"/>
                <w:sz w:val="24"/>
                <w:szCs w:val="24"/>
                <w:highlight w:val="none"/>
                <w:lang w:val="en-US" w:eastAsia="zh-CN"/>
              </w:rPr>
              <w:t>投标人具备有效的</w:t>
            </w:r>
            <w:r>
              <w:rPr>
                <w:rFonts w:hint="default"/>
                <w:color w:val="auto"/>
                <w:sz w:val="24"/>
                <w:szCs w:val="24"/>
                <w:highlight w:val="none"/>
                <w:lang w:val="en-US" w:eastAsia="zh-CN"/>
              </w:rPr>
              <w:t>AAA</w:t>
            </w:r>
            <w:r>
              <w:rPr>
                <w:rFonts w:hint="eastAsia"/>
                <w:color w:val="auto"/>
                <w:sz w:val="24"/>
                <w:szCs w:val="24"/>
                <w:highlight w:val="none"/>
                <w:lang w:val="en-US" w:eastAsia="zh-CN"/>
              </w:rPr>
              <w:t>级信用企业证书、</w:t>
            </w:r>
            <w:r>
              <w:rPr>
                <w:rFonts w:hint="default"/>
                <w:color w:val="auto"/>
                <w:sz w:val="24"/>
                <w:szCs w:val="24"/>
                <w:highlight w:val="none"/>
                <w:lang w:val="en-US" w:eastAsia="zh-CN"/>
              </w:rPr>
              <w:t>AAA</w:t>
            </w:r>
            <w:r>
              <w:rPr>
                <w:rFonts w:hint="eastAsia"/>
                <w:color w:val="auto"/>
                <w:sz w:val="24"/>
                <w:szCs w:val="24"/>
                <w:highlight w:val="none"/>
                <w:lang w:val="en-US" w:eastAsia="zh-CN"/>
              </w:rPr>
              <w:t>级重合同守信用企业证书、</w:t>
            </w:r>
            <w:r>
              <w:rPr>
                <w:rFonts w:hint="default"/>
                <w:color w:val="auto"/>
                <w:sz w:val="24"/>
                <w:szCs w:val="24"/>
                <w:highlight w:val="none"/>
                <w:lang w:val="en-US" w:eastAsia="zh-CN"/>
              </w:rPr>
              <w:t>AAA</w:t>
            </w:r>
            <w:r>
              <w:rPr>
                <w:rFonts w:hint="eastAsia"/>
                <w:color w:val="auto"/>
                <w:sz w:val="24"/>
                <w:szCs w:val="24"/>
                <w:highlight w:val="none"/>
                <w:lang w:val="en-US" w:eastAsia="zh-CN"/>
              </w:rPr>
              <w:t>级重服务守信用企业证书，每提供1项得1分，本项分值最高得3分。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bidi w:val="0"/>
              <w:rPr>
                <w:rFonts w:hint="default"/>
                <w:color w:val="auto"/>
                <w:sz w:val="24"/>
                <w:szCs w:val="24"/>
                <w:highlight w:val="none"/>
                <w:lang w:val="en-US" w:eastAsia="zh-CN"/>
              </w:rPr>
            </w:pPr>
            <w:r>
              <w:rPr>
                <w:rFonts w:hint="eastAsia"/>
                <w:color w:val="auto"/>
                <w:sz w:val="24"/>
                <w:szCs w:val="24"/>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highlight w:val="yellow"/>
              </w:rPr>
            </w:pPr>
          </w:p>
        </w:tc>
      </w:tr>
      <w:tr>
        <w:tblPrEx>
          <w:tblCellMar>
            <w:top w:w="0" w:type="dxa"/>
            <w:left w:w="108" w:type="dxa"/>
            <w:bottom w:w="0" w:type="dxa"/>
            <w:right w:w="108" w:type="dxa"/>
          </w:tblCellMar>
        </w:tblPrEx>
        <w:trPr>
          <w:trHeight w:val="1692" w:hRule="atLeast"/>
        </w:trPr>
        <w:tc>
          <w:tcPr>
            <w:tcW w:w="1875" w:type="dxa"/>
            <w:vMerge w:val="continue"/>
            <w:tcBorders>
              <w:left w:val="single" w:color="auto" w:sz="4" w:space="0"/>
              <w:bottom w:val="single" w:color="000000" w:sz="4" w:space="0"/>
              <w:right w:val="single" w:color="auto" w:sz="4" w:space="0"/>
            </w:tcBorders>
            <w:shd w:val="clear" w:color="auto" w:fill="auto"/>
            <w:vAlign w:val="center"/>
          </w:tcPr>
          <w:p>
            <w:pPr>
              <w:numPr>
                <w:ilvl w:val="0"/>
                <w:numId w:val="0"/>
              </w:numPr>
              <w:bidi w:val="0"/>
              <w:rPr>
                <w:rFonts w:hint="eastAsia"/>
                <w:color w:val="auto"/>
                <w:sz w:val="24"/>
                <w:szCs w:val="24"/>
                <w:highlight w:val="none"/>
                <w:lang w:val="en-US" w:eastAsia="zh-CN"/>
              </w:rPr>
            </w:pPr>
          </w:p>
        </w:tc>
        <w:tc>
          <w:tcPr>
            <w:tcW w:w="1364" w:type="dxa"/>
            <w:tcBorders>
              <w:top w:val="single" w:color="000000" w:sz="4" w:space="0"/>
              <w:left w:val="single" w:color="auto" w:sz="4" w:space="0"/>
              <w:bottom w:val="single" w:color="000000" w:sz="4" w:space="0"/>
              <w:right w:val="single" w:color="000000" w:sz="4" w:space="0"/>
            </w:tcBorders>
            <w:shd w:val="clear" w:color="auto" w:fill="auto"/>
            <w:vAlign w:val="center"/>
          </w:tcPr>
          <w:p>
            <w:pPr>
              <w:numPr>
                <w:ilvl w:val="0"/>
                <w:numId w:val="0"/>
              </w:numPr>
              <w:bidi w:val="0"/>
              <w:jc w:val="center"/>
              <w:rPr>
                <w:rFonts w:hint="default"/>
                <w:color w:val="auto"/>
                <w:sz w:val="24"/>
                <w:szCs w:val="24"/>
                <w:highlight w:val="none"/>
                <w:lang w:val="en-US" w:eastAsia="zh-CN"/>
              </w:rPr>
            </w:pPr>
            <w:r>
              <w:rPr>
                <w:rFonts w:hint="default"/>
                <w:color w:val="auto"/>
                <w:sz w:val="24"/>
                <w:szCs w:val="24"/>
                <w:highlight w:val="none"/>
                <w:lang w:val="en-US" w:eastAsia="zh-CN"/>
              </w:rPr>
              <w:t>类似项目业绩</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numPr>
                <w:ilvl w:val="0"/>
                <w:numId w:val="0"/>
              </w:numPr>
              <w:kinsoku/>
              <w:wordWrap/>
              <w:overflowPunct/>
              <w:topLinePunct w:val="0"/>
              <w:autoSpaceDE/>
              <w:autoSpaceDN/>
              <w:bidi w:val="0"/>
              <w:adjustRightInd/>
              <w:snapToGrid/>
              <w:spacing w:line="400" w:lineRule="exact"/>
              <w:rPr>
                <w:rFonts w:hint="eastAsia"/>
                <w:color w:val="auto"/>
                <w:sz w:val="24"/>
                <w:szCs w:val="24"/>
                <w:highlight w:val="none"/>
                <w:lang w:val="en-US" w:eastAsia="zh-CN"/>
              </w:rPr>
            </w:pPr>
            <w:r>
              <w:rPr>
                <w:rFonts w:hint="default"/>
                <w:color w:val="auto"/>
                <w:sz w:val="24"/>
                <w:szCs w:val="24"/>
                <w:highlight w:val="none"/>
                <w:lang w:val="en-US" w:eastAsia="zh-CN"/>
              </w:rPr>
              <w:t>投标人自2023年1月1日以来（以合同签订时间为准），承接过跨境经贸服务类信息化平台</w:t>
            </w:r>
            <w:r>
              <w:rPr>
                <w:rFonts w:hint="eastAsia"/>
                <w:color w:val="auto"/>
                <w:sz w:val="24"/>
                <w:szCs w:val="24"/>
                <w:highlight w:val="none"/>
                <w:lang w:val="en-US" w:eastAsia="zh-CN"/>
              </w:rPr>
              <w:t>或</w:t>
            </w:r>
            <w:r>
              <w:rPr>
                <w:rFonts w:hint="default"/>
                <w:color w:val="auto"/>
                <w:sz w:val="24"/>
                <w:szCs w:val="24"/>
                <w:highlight w:val="none"/>
                <w:lang w:val="en-US" w:eastAsia="zh-CN"/>
              </w:rPr>
              <w:t>人工智能应用类平台或公共服务类线上平台的开发建设</w:t>
            </w:r>
            <w:r>
              <w:rPr>
                <w:rFonts w:hint="eastAsia"/>
                <w:color w:val="auto"/>
                <w:sz w:val="24"/>
                <w:szCs w:val="24"/>
                <w:highlight w:val="none"/>
                <w:lang w:val="en-US" w:eastAsia="zh-CN"/>
              </w:rPr>
              <w:t>等相类似</w:t>
            </w:r>
            <w:r>
              <w:rPr>
                <w:rFonts w:hint="default"/>
                <w:color w:val="auto"/>
                <w:sz w:val="24"/>
                <w:szCs w:val="24"/>
                <w:highlight w:val="none"/>
                <w:lang w:val="en-US" w:eastAsia="zh-CN"/>
              </w:rPr>
              <w:t>项目：每提供1个类似项目业绩得1分，最高得</w:t>
            </w:r>
            <w:r>
              <w:rPr>
                <w:rFonts w:hint="eastAsia"/>
                <w:color w:val="auto"/>
                <w:sz w:val="24"/>
                <w:szCs w:val="24"/>
                <w:highlight w:val="none"/>
                <w:lang w:val="en-US" w:eastAsia="zh-CN"/>
              </w:rPr>
              <w:t>2</w:t>
            </w:r>
            <w:r>
              <w:rPr>
                <w:rFonts w:hint="default"/>
                <w:color w:val="auto"/>
                <w:sz w:val="24"/>
                <w:szCs w:val="24"/>
                <w:highlight w:val="none"/>
                <w:lang w:val="en-US" w:eastAsia="zh-CN"/>
              </w:rPr>
              <w:t>分。</w:t>
            </w:r>
          </w:p>
          <w:p>
            <w:pPr>
              <w:keepNext w:val="0"/>
              <w:keepLines w:val="0"/>
              <w:pageBreakBefore w:val="0"/>
              <w:numPr>
                <w:ilvl w:val="0"/>
                <w:numId w:val="0"/>
              </w:numPr>
              <w:kinsoku/>
              <w:wordWrap/>
              <w:overflowPunct/>
              <w:topLinePunct w:val="0"/>
              <w:autoSpaceDE/>
              <w:autoSpaceDN/>
              <w:bidi w:val="0"/>
              <w:adjustRightInd/>
              <w:snapToGrid/>
              <w:spacing w:line="400" w:lineRule="exact"/>
              <w:rPr>
                <w:rFonts w:hint="default"/>
                <w:color w:val="auto"/>
                <w:sz w:val="24"/>
                <w:szCs w:val="24"/>
                <w:highlight w:val="none"/>
                <w:lang w:val="en-US" w:eastAsia="zh-CN"/>
              </w:rPr>
            </w:pPr>
            <w:r>
              <w:rPr>
                <w:rFonts w:hint="default"/>
                <w:color w:val="auto"/>
                <w:sz w:val="24"/>
                <w:szCs w:val="24"/>
                <w:highlight w:val="none"/>
                <w:lang w:val="en-US" w:eastAsia="zh-CN"/>
              </w:rPr>
              <w:t>（须同时提供：①合同关键页复印件（至少包含合同首页、标的页、签字盖章页）；②验收报告或用户满意度证明复印件；所有证明材料均须加盖投标人公章。同一项目不重复计分。）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bidi w:val="0"/>
              <w:rPr>
                <w:rFonts w:hint="eastAsia"/>
                <w:color w:val="auto"/>
                <w:sz w:val="24"/>
                <w:szCs w:val="24"/>
                <w:highlight w:val="none"/>
                <w:lang w:val="en-US" w:eastAsia="zh-CN"/>
              </w:rPr>
            </w:pPr>
            <w:r>
              <w:rPr>
                <w:rFonts w:hint="eastAsia"/>
                <w:color w:val="auto"/>
                <w:sz w:val="24"/>
                <w:szCs w:val="24"/>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highlight w:val="yellow"/>
              </w:rPr>
            </w:pPr>
          </w:p>
        </w:tc>
      </w:tr>
      <w:tr>
        <w:tblPrEx>
          <w:tblCellMar>
            <w:top w:w="0" w:type="dxa"/>
            <w:left w:w="108" w:type="dxa"/>
            <w:bottom w:w="0" w:type="dxa"/>
            <w:right w:w="108" w:type="dxa"/>
          </w:tblCellMar>
        </w:tblPrEx>
        <w:trPr>
          <w:trHeight w:val="450"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0"/>
                <w:sz w:val="24"/>
                <w:lang w:eastAsia="zh-CN" w:bidi="ar"/>
              </w:rPr>
            </w:pPr>
            <w:r>
              <w:rPr>
                <w:rFonts w:hint="eastAsia" w:asciiTheme="minorEastAsia" w:hAnsiTheme="minorEastAsia" w:eastAsiaTheme="minorEastAsia" w:cstheme="minorEastAsia"/>
                <w:color w:val="auto"/>
                <w:kern w:val="0"/>
                <w:sz w:val="24"/>
                <w:lang w:bidi="ar"/>
              </w:rPr>
              <w:t>增值服务</w:t>
            </w:r>
          </w:p>
          <w:p>
            <w:pPr>
              <w:widowControl/>
              <w:jc w:val="center"/>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w:t>
            </w:r>
            <w:r>
              <w:rPr>
                <w:rFonts w:hint="eastAsia" w:asciiTheme="minorEastAsia" w:hAnsiTheme="minorEastAsia" w:eastAsiaTheme="minorEastAsia" w:cstheme="minorEastAsia"/>
                <w:color w:val="auto"/>
                <w:kern w:val="0"/>
                <w:sz w:val="24"/>
                <w:lang w:val="en-US" w:eastAsia="zh-CN" w:bidi="ar"/>
              </w:rPr>
              <w:t>0</w:t>
            </w:r>
            <w:r>
              <w:rPr>
                <w:rFonts w:hint="eastAsia" w:asciiTheme="minorEastAsia" w:hAnsiTheme="minorEastAsia" w:eastAsiaTheme="minorEastAsia" w:cstheme="minorEastAsia"/>
                <w:color w:val="auto"/>
                <w:kern w:val="0"/>
                <w:sz w:val="24"/>
                <w:lang w:bidi="ar"/>
              </w:rPr>
              <w:t>分）</w:t>
            </w:r>
          </w:p>
        </w:tc>
        <w:tc>
          <w:tcPr>
            <w:tcW w:w="136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lang w:bidi="ar"/>
              </w:rPr>
              <w:t>市场推广与运营方案</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bidi="ar"/>
              </w:rPr>
            </w:pPr>
            <w:r>
              <w:rPr>
                <w:rFonts w:hint="eastAsia" w:asciiTheme="minorEastAsia" w:hAnsiTheme="minorEastAsia" w:eastAsiaTheme="minorEastAsia" w:cstheme="minorEastAsia"/>
                <w:color w:val="auto"/>
                <w:kern w:val="0"/>
                <w:sz w:val="24"/>
                <w:highlight w:val="none"/>
                <w:lang w:val="en-US" w:eastAsia="zh-CN" w:bidi="ar"/>
              </w:rPr>
              <w:t>1.</w:t>
            </w:r>
            <w:r>
              <w:rPr>
                <w:rFonts w:hint="eastAsia" w:asciiTheme="minorEastAsia" w:hAnsiTheme="minorEastAsia" w:eastAsiaTheme="minorEastAsia" w:cstheme="minorEastAsia"/>
                <w:color w:val="auto"/>
                <w:kern w:val="0"/>
                <w:sz w:val="24"/>
                <w:highlight w:val="none"/>
                <w:lang w:bidi="ar"/>
              </w:rPr>
              <w:t>优秀（4-5分）</w:t>
            </w:r>
            <w:r>
              <w:rPr>
                <w:rFonts w:hint="default" w:asciiTheme="minorEastAsia" w:hAnsiTheme="minorEastAsia" w:eastAsiaTheme="minorEastAsia" w:cstheme="minorEastAsia"/>
                <w:color w:val="auto"/>
                <w:kern w:val="0"/>
                <w:sz w:val="24"/>
                <w:highlight w:val="none"/>
                <w:lang w:bidi="ar"/>
              </w:rPr>
              <w:t>：推广方案完整详尽，渠道策略清晰可行，用户获取与留存方案具有创新性和可操作性，推广目标明确且可量化。</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bidi="ar"/>
              </w:rPr>
            </w:pPr>
            <w:r>
              <w:rPr>
                <w:rFonts w:hint="eastAsia" w:asciiTheme="minorEastAsia" w:hAnsiTheme="minorEastAsia" w:eastAsiaTheme="minorEastAsia" w:cstheme="minorEastAsia"/>
                <w:color w:val="auto"/>
                <w:kern w:val="0"/>
                <w:sz w:val="24"/>
                <w:highlight w:val="none"/>
                <w:lang w:val="en-US" w:eastAsia="zh-CN" w:bidi="ar"/>
              </w:rPr>
              <w:t>2.</w:t>
            </w:r>
            <w:r>
              <w:rPr>
                <w:rFonts w:hint="default" w:asciiTheme="minorEastAsia" w:hAnsiTheme="minorEastAsia" w:eastAsiaTheme="minorEastAsia" w:cstheme="minorEastAsia"/>
                <w:color w:val="auto"/>
                <w:kern w:val="0"/>
                <w:sz w:val="24"/>
                <w:highlight w:val="none"/>
                <w:lang w:bidi="ar"/>
              </w:rPr>
              <w:t>良好（2-3分）：推广方案较为完整，渠道策略基本清晰，有基本的用户获取与留存思路。</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lang w:val="en-US" w:eastAsia="zh-CN" w:bidi="ar"/>
              </w:rPr>
              <w:t>3.</w:t>
            </w:r>
            <w:r>
              <w:rPr>
                <w:rFonts w:hint="default" w:asciiTheme="minorEastAsia" w:hAnsiTheme="minorEastAsia" w:eastAsiaTheme="minorEastAsia" w:cstheme="minorEastAsia"/>
                <w:color w:val="auto"/>
                <w:kern w:val="0"/>
                <w:sz w:val="24"/>
                <w:highlight w:val="none"/>
                <w:lang w:bidi="ar"/>
              </w:rPr>
              <w:t>一般（0-1分）：推广方案粗略，渠道策略模糊，缺乏用户运营具体措施，或未提供方案。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kern w:val="0"/>
                <w:sz w:val="24"/>
                <w:highlight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450" w:hRule="atLeast"/>
        </w:trPr>
        <w:tc>
          <w:tcPr>
            <w:tcW w:w="0" w:type="auto"/>
            <w:vMerge w:val="continue"/>
            <w:tcBorders>
              <w:left w:val="single" w:color="auto" w:sz="4" w:space="0"/>
              <w:right w:val="single" w:color="auto" w:sz="4" w:space="0"/>
            </w:tcBorders>
            <w:shd w:val="clear" w:color="auto" w:fill="auto"/>
            <w:vAlign w:val="center"/>
          </w:tcPr>
          <w:p>
            <w:pPr>
              <w:widowControl/>
              <w:jc w:val="center"/>
              <w:textAlignment w:val="center"/>
              <w:rPr>
                <w:rFonts w:hint="eastAsia" w:asciiTheme="minorEastAsia" w:hAnsiTheme="minorEastAsia" w:eastAsiaTheme="minorEastAsia" w:cstheme="minorEastAsia"/>
                <w:color w:val="auto"/>
                <w:kern w:val="0"/>
                <w:sz w:val="24"/>
                <w:lang w:bidi="ar"/>
              </w:rPr>
            </w:pPr>
          </w:p>
        </w:tc>
        <w:tc>
          <w:tcPr>
            <w:tcW w:w="136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hint="default"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技术扩展服务</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lang w:bidi="ar"/>
              </w:rPr>
            </w:pPr>
            <w:r>
              <w:rPr>
                <w:rFonts w:hint="eastAsia" w:asciiTheme="minorEastAsia" w:hAnsiTheme="minorEastAsia" w:eastAsiaTheme="minorEastAsia" w:cstheme="minorEastAsia"/>
                <w:color w:val="auto"/>
                <w:kern w:val="0"/>
                <w:sz w:val="24"/>
                <w:lang w:val="en-US" w:eastAsia="zh-CN" w:bidi="ar"/>
              </w:rPr>
              <w:t>1.</w:t>
            </w:r>
            <w:r>
              <w:rPr>
                <w:rFonts w:hint="eastAsia" w:asciiTheme="minorEastAsia" w:hAnsiTheme="minorEastAsia" w:eastAsiaTheme="minorEastAsia" w:cstheme="minorEastAsia"/>
                <w:color w:val="auto"/>
                <w:kern w:val="0"/>
                <w:sz w:val="24"/>
                <w:lang w:bidi="ar"/>
              </w:rPr>
              <w:t>开设多语种线上会议室，支持中外人员多人同时开展线上会议，支持中文英文及小语种同传实时翻译，提供会议纪要自动生成与翻译服务，得</w:t>
            </w:r>
            <w:r>
              <w:rPr>
                <w:rFonts w:hint="eastAsia" w:asciiTheme="minorEastAsia" w:hAnsiTheme="minorEastAsia" w:eastAsiaTheme="minorEastAsia" w:cstheme="minorEastAsia"/>
                <w:color w:val="auto"/>
                <w:kern w:val="0"/>
                <w:sz w:val="24"/>
                <w:lang w:val="en-US" w:eastAsia="zh-CN" w:bidi="ar"/>
              </w:rPr>
              <w:t>1</w:t>
            </w:r>
            <w:r>
              <w:rPr>
                <w:rFonts w:hint="eastAsia" w:asciiTheme="minorEastAsia" w:hAnsiTheme="minorEastAsia" w:eastAsiaTheme="minorEastAsia" w:cstheme="minorEastAsia"/>
                <w:color w:val="auto"/>
                <w:kern w:val="0"/>
                <w:sz w:val="24"/>
                <w:lang w:bidi="ar"/>
              </w:rPr>
              <w:t>分。</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2.设“中国—东盟小语种人才专区”，发布东盟小语种岗位需求和人才信息，实现双向精准匹配，为企业提供本地化人才支持，</w:t>
            </w:r>
            <w:r>
              <w:rPr>
                <w:rFonts w:hint="eastAsia" w:asciiTheme="minorEastAsia" w:hAnsiTheme="minorEastAsia" w:eastAsiaTheme="minorEastAsia" w:cstheme="minorEastAsia"/>
                <w:color w:val="auto"/>
                <w:kern w:val="0"/>
                <w:sz w:val="24"/>
                <w:lang w:bidi="ar"/>
              </w:rPr>
              <w:t>得</w:t>
            </w:r>
            <w:r>
              <w:rPr>
                <w:rFonts w:hint="eastAsia" w:asciiTheme="minorEastAsia" w:hAnsiTheme="minorEastAsia" w:eastAsiaTheme="minorEastAsia" w:cstheme="minorEastAsia"/>
                <w:color w:val="auto"/>
                <w:kern w:val="0"/>
                <w:sz w:val="24"/>
                <w:lang w:val="en-US" w:eastAsia="zh-CN" w:bidi="ar"/>
              </w:rPr>
              <w:t>1</w:t>
            </w:r>
            <w:r>
              <w:rPr>
                <w:rFonts w:hint="eastAsia" w:asciiTheme="minorEastAsia" w:hAnsiTheme="minorEastAsia" w:eastAsiaTheme="minorEastAsia" w:cstheme="minorEastAsia"/>
                <w:color w:val="auto"/>
                <w:kern w:val="0"/>
                <w:sz w:val="24"/>
                <w:lang w:bidi="ar"/>
              </w:rPr>
              <w:t>分</w:t>
            </w:r>
            <w:r>
              <w:rPr>
                <w:rFonts w:hint="eastAsia" w:asciiTheme="minorEastAsia" w:hAnsiTheme="minorEastAsia" w:eastAsiaTheme="minorEastAsia" w:cstheme="minorEastAsia"/>
                <w:i w:val="0"/>
                <w:iCs w:val="0"/>
                <w:color w:val="auto"/>
                <w:kern w:val="0"/>
                <w:sz w:val="24"/>
                <w:szCs w:val="24"/>
                <w:u w:val="none"/>
                <w:lang w:val="en-US" w:eastAsia="zh-CN" w:bidi="ar"/>
              </w:rPr>
              <w:t>。</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center"/>
              <w:rPr>
                <w:rFonts w:hint="default" w:asciiTheme="minorEastAsia" w:hAnsiTheme="minorEastAsia" w:eastAsiaTheme="minorEastAsia" w:cstheme="minorEastAsia"/>
                <w:i w:val="0"/>
                <w:iCs w:val="0"/>
                <w:color w:val="auto"/>
                <w:kern w:val="0"/>
                <w:sz w:val="24"/>
                <w:szCs w:val="24"/>
                <w:u w:val="none"/>
                <w:lang w:val="en-US" w:eastAsia="zh-CN" w:bidi="ar"/>
              </w:rPr>
            </w:pPr>
            <w:r>
              <w:rPr>
                <w:rFonts w:hint="eastAsia" w:asciiTheme="minorEastAsia" w:hAnsiTheme="minorEastAsia" w:eastAsiaTheme="minorEastAsia" w:cstheme="minorEastAsia"/>
                <w:i w:val="0"/>
                <w:iCs w:val="0"/>
                <w:color w:val="auto"/>
                <w:kern w:val="0"/>
                <w:sz w:val="24"/>
                <w:szCs w:val="24"/>
                <w:u w:val="none"/>
                <w:lang w:val="en-US" w:eastAsia="zh-CN" w:bidi="ar"/>
              </w:rPr>
              <w:t>3.提供轻量化本地化大模型部署，提升平台响应速度与数据安全性，减少技术维护成本，</w:t>
            </w:r>
            <w:r>
              <w:rPr>
                <w:rFonts w:hint="eastAsia" w:asciiTheme="minorEastAsia" w:hAnsiTheme="minorEastAsia" w:eastAsiaTheme="minorEastAsia" w:cstheme="minorEastAsia"/>
                <w:color w:val="auto"/>
                <w:kern w:val="0"/>
                <w:sz w:val="24"/>
                <w:lang w:bidi="ar"/>
              </w:rPr>
              <w:t>得</w:t>
            </w:r>
            <w:r>
              <w:rPr>
                <w:rFonts w:hint="eastAsia" w:asciiTheme="minorEastAsia" w:hAnsiTheme="minorEastAsia" w:eastAsiaTheme="minorEastAsia" w:cstheme="minorEastAsia"/>
                <w:color w:val="auto"/>
                <w:kern w:val="0"/>
                <w:sz w:val="24"/>
                <w:lang w:val="en-US" w:eastAsia="zh-CN" w:bidi="ar"/>
              </w:rPr>
              <w:t>1.5</w:t>
            </w:r>
            <w:r>
              <w:rPr>
                <w:rFonts w:hint="eastAsia" w:asciiTheme="minorEastAsia" w:hAnsiTheme="minorEastAsia" w:eastAsiaTheme="minorEastAsia" w:cstheme="minorEastAsia"/>
                <w:color w:val="auto"/>
                <w:kern w:val="0"/>
                <w:sz w:val="24"/>
                <w:lang w:bidi="ar"/>
              </w:rPr>
              <w:t>分</w:t>
            </w:r>
            <w:r>
              <w:rPr>
                <w:rFonts w:hint="eastAsia" w:asciiTheme="minorEastAsia" w:hAnsiTheme="minorEastAsia" w:eastAsiaTheme="minorEastAsia" w:cstheme="minorEastAsia"/>
                <w:i w:val="0"/>
                <w:iCs w:val="0"/>
                <w:color w:val="auto"/>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heme="minorEastAsia" w:hAnsiTheme="minorEastAsia" w:eastAsiaTheme="minorEastAsia" w:cstheme="minorEastAsia"/>
                <w:color w:val="auto"/>
                <w:kern w:val="0"/>
                <w:sz w:val="24"/>
                <w:lang w:val="en-US" w:eastAsia="zh-CN" w:bidi="ar"/>
              </w:rPr>
            </w:pPr>
            <w:r>
              <w:rPr>
                <w:rFonts w:hint="eastAsia" w:asciiTheme="minorEastAsia" w:hAnsiTheme="minorEastAsia" w:eastAsiaTheme="minorEastAsia" w:cstheme="minorEastAsia"/>
                <w:color w:val="auto"/>
                <w:kern w:val="0"/>
                <w:sz w:val="24"/>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3125" w:hRule="atLeast"/>
        </w:trPr>
        <w:tc>
          <w:tcPr>
            <w:tcW w:w="0" w:type="auto"/>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1364"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lang w:bidi="ar"/>
              </w:rPr>
              <w:t>团队配置</w:t>
            </w:r>
          </w:p>
        </w:tc>
        <w:tc>
          <w:tcPr>
            <w:tcW w:w="50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val="en-US" w:eastAsia="zh-CN" w:bidi="ar"/>
              </w:rPr>
            </w:pPr>
            <w:r>
              <w:rPr>
                <w:rFonts w:hint="eastAsia" w:asciiTheme="minorEastAsia" w:hAnsiTheme="minorEastAsia" w:eastAsiaTheme="minorEastAsia" w:cstheme="minorEastAsia"/>
                <w:color w:val="auto"/>
                <w:kern w:val="0"/>
                <w:sz w:val="24"/>
                <w:highlight w:val="none"/>
                <w:lang w:val="en-US" w:eastAsia="zh-CN" w:bidi="ar"/>
              </w:rPr>
              <w:t>1.优秀（1-1.5分）</w:t>
            </w:r>
            <w:r>
              <w:rPr>
                <w:rFonts w:hint="default" w:asciiTheme="minorEastAsia" w:hAnsiTheme="minorEastAsia" w:eastAsiaTheme="minorEastAsia" w:cstheme="minorEastAsia"/>
                <w:color w:val="auto"/>
                <w:kern w:val="0"/>
                <w:sz w:val="24"/>
                <w:highlight w:val="none"/>
                <w:lang w:val="en-US" w:eastAsia="zh-CN" w:bidi="ar"/>
              </w:rPr>
              <w:t>：项目负责人具有5年以上信息化平台或跨境服务类项目管理经验，技术负责人具有3年以上相关技术开发经验，团队成员专业搭配合理，人员资质与项目需求高度匹配。</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color w:val="auto"/>
                <w:kern w:val="0"/>
                <w:sz w:val="24"/>
                <w:highlight w:val="none"/>
                <w:lang w:val="en-US" w:eastAsia="zh-CN" w:bidi="ar"/>
              </w:rPr>
            </w:pPr>
            <w:r>
              <w:rPr>
                <w:rFonts w:hint="eastAsia" w:asciiTheme="minorEastAsia" w:hAnsiTheme="minorEastAsia" w:eastAsiaTheme="minorEastAsia" w:cstheme="minorEastAsia"/>
                <w:color w:val="auto"/>
                <w:kern w:val="0"/>
                <w:sz w:val="24"/>
                <w:highlight w:val="none"/>
                <w:lang w:val="en-US" w:eastAsia="zh-CN" w:bidi="ar"/>
              </w:rPr>
              <w:t>2.</w:t>
            </w:r>
            <w:r>
              <w:rPr>
                <w:rFonts w:hint="default" w:asciiTheme="minorEastAsia" w:hAnsiTheme="minorEastAsia" w:eastAsiaTheme="minorEastAsia" w:cstheme="minorEastAsia"/>
                <w:color w:val="auto"/>
                <w:kern w:val="0"/>
                <w:sz w:val="24"/>
                <w:highlight w:val="none"/>
                <w:lang w:val="en-US" w:eastAsia="zh-CN" w:bidi="ar"/>
              </w:rPr>
              <w:t>良好（</w:t>
            </w:r>
            <w:r>
              <w:rPr>
                <w:rFonts w:hint="eastAsia" w:asciiTheme="minorEastAsia" w:hAnsiTheme="minorEastAsia" w:eastAsiaTheme="minorEastAsia" w:cstheme="minorEastAsia"/>
                <w:color w:val="auto"/>
                <w:kern w:val="0"/>
                <w:sz w:val="24"/>
                <w:highlight w:val="none"/>
                <w:lang w:val="en-US" w:eastAsia="zh-CN" w:bidi="ar"/>
              </w:rPr>
              <w:t>0.5</w:t>
            </w:r>
            <w:r>
              <w:rPr>
                <w:rFonts w:hint="default" w:asciiTheme="minorEastAsia" w:hAnsiTheme="minorEastAsia" w:eastAsiaTheme="minorEastAsia" w:cstheme="minorEastAsia"/>
                <w:color w:val="auto"/>
                <w:kern w:val="0"/>
                <w:sz w:val="24"/>
                <w:highlight w:val="none"/>
                <w:lang w:val="en-US" w:eastAsia="zh-CN" w:bidi="ar"/>
              </w:rPr>
              <w:t>分）：项目负责人具有3-5年相关经验或中级专业证书；技术负责人具有1-3年相关经验；团队配置基本合理。</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Theme="minorEastAsia" w:hAnsiTheme="minorEastAsia" w:eastAsiaTheme="minorEastAsia" w:cstheme="minorEastAsia"/>
                <w:color w:val="auto"/>
                <w:kern w:val="0"/>
                <w:sz w:val="24"/>
                <w:highlight w:val="none"/>
                <w:lang w:val="en-US" w:eastAsia="zh-CN" w:bidi="ar"/>
              </w:rPr>
            </w:pPr>
            <w:r>
              <w:rPr>
                <w:rFonts w:hint="eastAsia" w:asciiTheme="minorEastAsia" w:hAnsiTheme="minorEastAsia" w:eastAsiaTheme="minorEastAsia" w:cstheme="minorEastAsia"/>
                <w:color w:val="auto"/>
                <w:kern w:val="0"/>
                <w:sz w:val="24"/>
                <w:highlight w:val="none"/>
                <w:lang w:val="en-US" w:eastAsia="zh-CN" w:bidi="ar"/>
              </w:rPr>
              <w:t>3.</w:t>
            </w:r>
            <w:r>
              <w:rPr>
                <w:rFonts w:hint="default" w:asciiTheme="minorEastAsia" w:hAnsiTheme="minorEastAsia" w:eastAsiaTheme="minorEastAsia" w:cstheme="minorEastAsia"/>
                <w:color w:val="auto"/>
                <w:kern w:val="0"/>
                <w:sz w:val="24"/>
                <w:highlight w:val="none"/>
                <w:lang w:val="en-US" w:eastAsia="zh-CN" w:bidi="ar"/>
              </w:rPr>
              <w:t>一般（0分）：项目负责人相关经验不足3年或无专业证书；团队配置薄弱，难以满足项目需求。</w:t>
            </w:r>
          </w:p>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asciiTheme="minorEastAsia" w:hAnsiTheme="minorEastAsia" w:eastAsiaTheme="minorEastAsia" w:cstheme="minorEastAsia"/>
                <w:color w:val="auto"/>
                <w:sz w:val="24"/>
                <w:highlight w:val="none"/>
              </w:rPr>
            </w:pPr>
            <w:r>
              <w:rPr>
                <w:rFonts w:hint="default" w:asciiTheme="minorEastAsia" w:hAnsiTheme="minorEastAsia" w:eastAsiaTheme="minorEastAsia" w:cstheme="minorEastAsia"/>
                <w:color w:val="auto"/>
                <w:kern w:val="0"/>
                <w:sz w:val="24"/>
                <w:highlight w:val="none"/>
                <w:lang w:val="en-US" w:eastAsia="zh-CN" w:bidi="ar"/>
              </w:rPr>
              <w:t>（须提供团队成员的简历、近3个月社保证明或劳动合同复印件）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8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总分合计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kern w:val="0"/>
                <w:sz w:val="24"/>
                <w:lang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r>
      <w:tr>
        <w:tblPrEx>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stheme="minorEastAsia"/>
                <w:color w:val="auto"/>
                <w:sz w:val="24"/>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heme="minorEastAsia" w:hAnsiTheme="minorEastAsia" w:eastAsiaTheme="minorEastAsia" w:cstheme="minorEastAsia"/>
                <w:color w:val="auto"/>
                <w:sz w:val="24"/>
              </w:rPr>
            </w:pPr>
          </w:p>
        </w:tc>
      </w:tr>
    </w:tbl>
    <w:p>
      <w:pPr>
        <w:pStyle w:val="20"/>
        <w:keepNext w:val="0"/>
        <w:keepLines w:val="0"/>
        <w:pageBreakBefore w:val="0"/>
        <w:widowControl w:val="0"/>
        <w:tabs>
          <w:tab w:val="left" w:pos="1165"/>
        </w:tabs>
        <w:kinsoku/>
        <w:wordWrap/>
        <w:overflowPunct/>
        <w:topLinePunct w:val="0"/>
        <w:autoSpaceDE/>
        <w:autoSpaceDN/>
        <w:bidi w:val="0"/>
        <w:adjustRightInd/>
        <w:snapToGrid/>
        <w:spacing w:line="500" w:lineRule="exact"/>
        <w:ind w:firstLine="482"/>
        <w:textAlignment w:val="auto"/>
        <w:rPr>
          <w:rFonts w:ascii="宋体" w:hAnsi="宋体" w:cs="宋体"/>
          <w:b/>
          <w:color w:val="auto"/>
          <w:sz w:val="24"/>
        </w:rPr>
      </w:pPr>
      <w:r>
        <w:rPr>
          <w:rFonts w:hint="eastAsia" w:ascii="宋体" w:hAnsi="宋体" w:cs="宋体"/>
          <w:b/>
          <w:color w:val="auto"/>
          <w:sz w:val="24"/>
        </w:rPr>
        <w:t>（五）总得分＝1</w:t>
      </w:r>
      <w:bookmarkStart w:id="40" w:name="OLE_LINK1"/>
      <w:r>
        <w:rPr>
          <w:rFonts w:hint="eastAsia" w:ascii="宋体" w:hAnsi="宋体" w:cs="宋体"/>
          <w:b/>
          <w:color w:val="auto"/>
          <w:sz w:val="24"/>
        </w:rPr>
        <w:t>＋</w:t>
      </w:r>
      <w:bookmarkEnd w:id="40"/>
      <w:r>
        <w:rPr>
          <w:rFonts w:hint="eastAsia" w:ascii="宋体" w:hAnsi="宋体" w:cs="宋体"/>
          <w:b/>
          <w:color w:val="auto"/>
          <w:sz w:val="24"/>
        </w:rPr>
        <w:t>2＋3＋4</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宋体" w:hAnsi="宋体" w:cs="宋体"/>
          <w:bCs/>
          <w:color w:val="auto"/>
          <w:sz w:val="24"/>
        </w:rPr>
      </w:pPr>
      <w:r>
        <w:rPr>
          <w:rFonts w:hint="eastAsia" w:ascii="宋体" w:hAnsi="宋体" w:cs="宋体"/>
          <w:bCs/>
          <w:color w:val="auto"/>
          <w:sz w:val="24"/>
        </w:rPr>
        <w:t>（六）中标标准：磋商小组将按总得分由高到低排列中标候选竞标人顺序（总得分相同时，依次按投标报价低优先、方案分高优先的顺序排列），并依照次序确定中标竞标人。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宋体" w:hAnsi="宋体" w:cs="宋体"/>
          <w:bCs/>
          <w:color w:val="auto"/>
          <w:sz w:val="24"/>
        </w:rPr>
      </w:pPr>
      <w:r>
        <w:rPr>
          <w:rFonts w:hint="eastAsia" w:ascii="宋体" w:hAnsi="宋体" w:cs="宋体"/>
          <w:bCs/>
          <w:color w:val="auto"/>
          <w:sz w:val="24"/>
        </w:rPr>
        <w:t>（七）特别说明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ascii="宋体" w:hAnsi="宋体" w:cs="宋体"/>
          <w:color w:val="auto"/>
          <w:sz w:val="24"/>
        </w:rPr>
      </w:pPr>
      <w:r>
        <w:rPr>
          <w:rFonts w:hint="eastAsia" w:ascii="宋体" w:hAnsi="宋体" w:cs="宋体"/>
          <w:bCs/>
          <w:color w:val="auto"/>
          <w:sz w:val="24"/>
        </w:rPr>
        <w:t>磋商小组认为竞标人的报价明显低于其他通过符合性审查竞标人的报价，有可能影响服务质量或者不能诚信履约的，应当要求其在评标现场合理的时间内提供书面说明，必要时提交相关证明材料；竞标人不能证明其报价合理性的，磋商小组应当将其作为无效竞标处理。</w:t>
      </w:r>
    </w:p>
    <w:p>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rPr>
      </w:pPr>
    </w:p>
    <w:p>
      <w:pPr>
        <w:pStyle w:val="3"/>
        <w:rPr>
          <w:color w:val="auto"/>
        </w:rPr>
      </w:pPr>
    </w:p>
    <w:p>
      <w:pPr>
        <w:rPr>
          <w:color w:val="auto"/>
        </w:rPr>
      </w:pPr>
      <w:bookmarkStart w:id="41" w:name="_Toc77937045"/>
    </w:p>
    <w:p>
      <w:pPr>
        <w:rPr>
          <w:color w:val="auto"/>
        </w:rPr>
      </w:pPr>
    </w:p>
    <w:p>
      <w:pPr>
        <w:rPr>
          <w:color w:val="auto"/>
        </w:rPr>
      </w:pPr>
    </w:p>
    <w:p>
      <w:pPr>
        <w:rPr>
          <w:color w:val="auto"/>
        </w:rPr>
      </w:pPr>
    </w:p>
    <w:p>
      <w:pPr>
        <w:rPr>
          <w:color w:val="auto"/>
        </w:rPr>
      </w:pPr>
    </w:p>
    <w:p>
      <w:pPr>
        <w:rPr>
          <w:color w:val="auto"/>
        </w:rPr>
      </w:pPr>
    </w:p>
    <w:p>
      <w:pPr>
        <w:rPr>
          <w:color w:val="auto"/>
        </w:rPr>
      </w:pPr>
    </w:p>
    <w:p>
      <w:pPr>
        <w:pStyle w:val="2"/>
        <w:rPr>
          <w:color w:val="auto"/>
        </w:rPr>
      </w:pPr>
    </w:p>
    <w:p>
      <w:pPr>
        <w:pStyle w:val="2"/>
        <w:rPr>
          <w:color w:val="auto"/>
        </w:rPr>
      </w:pPr>
      <w:r>
        <w:rPr>
          <w:color w:val="auto"/>
        </w:rPr>
        <w:t>第五章  磋商响应文件格式</w:t>
      </w:r>
      <w:bookmarkEnd w:id="41"/>
    </w:p>
    <w:p>
      <w:pPr>
        <w:spacing w:line="500" w:lineRule="exact"/>
        <w:jc w:val="center"/>
        <w:rPr>
          <w:color w:val="auto"/>
          <w:szCs w:val="21"/>
        </w:rPr>
      </w:pPr>
    </w:p>
    <w:p>
      <w:pPr>
        <w:spacing w:line="500" w:lineRule="exact"/>
        <w:rPr>
          <w:color w:val="auto"/>
          <w:sz w:val="32"/>
          <w:szCs w:val="32"/>
        </w:rPr>
      </w:pPr>
    </w:p>
    <w:p>
      <w:pPr>
        <w:spacing w:line="500" w:lineRule="exact"/>
        <w:jc w:val="center"/>
        <w:rPr>
          <w:color w:val="auto"/>
          <w:sz w:val="32"/>
          <w:szCs w:val="32"/>
        </w:rPr>
      </w:pPr>
    </w:p>
    <w:p>
      <w:pPr>
        <w:spacing w:line="500" w:lineRule="exact"/>
        <w:jc w:val="center"/>
        <w:rPr>
          <w:color w:val="auto"/>
          <w:sz w:val="32"/>
          <w:szCs w:val="32"/>
        </w:rPr>
      </w:pPr>
      <w:r>
        <w:rPr>
          <w:color w:val="auto"/>
          <w:sz w:val="32"/>
          <w:szCs w:val="32"/>
        </w:rPr>
        <w:br w:type="page"/>
      </w:r>
    </w:p>
    <w:p>
      <w:pPr>
        <w:spacing w:line="500" w:lineRule="exact"/>
        <w:rPr>
          <w:color w:val="auto"/>
          <w:sz w:val="32"/>
          <w:szCs w:val="32"/>
        </w:rPr>
      </w:pPr>
    </w:p>
    <w:p>
      <w:pPr>
        <w:spacing w:line="500" w:lineRule="exact"/>
        <w:jc w:val="center"/>
        <w:rPr>
          <w:color w:val="auto"/>
          <w:sz w:val="44"/>
          <w:szCs w:val="44"/>
        </w:rPr>
      </w:pPr>
      <w:r>
        <w:rPr>
          <w:color w:val="auto"/>
          <w:sz w:val="44"/>
          <w:szCs w:val="44"/>
        </w:rPr>
        <w:t>竞争性磋商响应文件（封面）</w:t>
      </w:r>
    </w:p>
    <w:p>
      <w:pPr>
        <w:spacing w:line="500" w:lineRule="exact"/>
        <w:jc w:val="center"/>
        <w:rPr>
          <w:color w:val="auto"/>
          <w:szCs w:val="21"/>
        </w:rPr>
      </w:pPr>
    </w:p>
    <w:p>
      <w:pPr>
        <w:spacing w:line="500" w:lineRule="exact"/>
        <w:jc w:val="center"/>
        <w:rPr>
          <w:color w:val="auto"/>
          <w:szCs w:val="21"/>
        </w:rPr>
      </w:pPr>
    </w:p>
    <w:p>
      <w:pPr>
        <w:spacing w:line="500" w:lineRule="exact"/>
        <w:jc w:val="center"/>
        <w:rPr>
          <w:color w:val="auto"/>
          <w:szCs w:val="21"/>
        </w:rPr>
      </w:pPr>
    </w:p>
    <w:p>
      <w:pPr>
        <w:spacing w:line="500" w:lineRule="exact"/>
        <w:jc w:val="center"/>
        <w:rPr>
          <w:color w:val="auto"/>
          <w:szCs w:val="21"/>
        </w:rPr>
      </w:pPr>
    </w:p>
    <w:p>
      <w:pPr>
        <w:spacing w:line="500" w:lineRule="exact"/>
        <w:jc w:val="center"/>
        <w:rPr>
          <w:color w:val="auto"/>
          <w:szCs w:val="21"/>
        </w:rPr>
      </w:pPr>
    </w:p>
    <w:p>
      <w:pPr>
        <w:tabs>
          <w:tab w:val="left" w:pos="3240"/>
        </w:tabs>
        <w:spacing w:line="600" w:lineRule="auto"/>
        <w:ind w:firstLine="2158" w:firstLineChars="771"/>
        <w:rPr>
          <w:color w:val="auto"/>
          <w:sz w:val="28"/>
          <w:szCs w:val="28"/>
        </w:rPr>
      </w:pPr>
    </w:p>
    <w:p>
      <w:pPr>
        <w:spacing w:line="600" w:lineRule="auto"/>
        <w:ind w:firstLine="2158" w:firstLineChars="771"/>
        <w:jc w:val="both"/>
        <w:rPr>
          <w:color w:val="auto"/>
          <w:sz w:val="28"/>
          <w:szCs w:val="28"/>
          <w:u w:val="single"/>
        </w:rPr>
      </w:pPr>
      <w:r>
        <w:rPr>
          <w:color w:val="auto"/>
          <w:sz w:val="28"/>
          <w:szCs w:val="28"/>
        </w:rPr>
        <w:t>采购项目名称：</w:t>
      </w:r>
      <w:r>
        <w:rPr>
          <w:color w:val="auto"/>
          <w:sz w:val="28"/>
          <w:szCs w:val="28"/>
          <w:u w:val="single"/>
        </w:rPr>
        <w:t xml:space="preserve">                       </w:t>
      </w:r>
    </w:p>
    <w:p>
      <w:pPr>
        <w:spacing w:line="600" w:lineRule="auto"/>
        <w:ind w:firstLine="2158" w:firstLineChars="771"/>
        <w:jc w:val="both"/>
        <w:rPr>
          <w:color w:val="auto"/>
          <w:sz w:val="28"/>
          <w:szCs w:val="28"/>
        </w:rPr>
      </w:pPr>
    </w:p>
    <w:p>
      <w:pPr>
        <w:spacing w:line="600" w:lineRule="auto"/>
        <w:ind w:firstLine="2158" w:firstLineChars="771"/>
        <w:jc w:val="both"/>
        <w:rPr>
          <w:color w:val="auto"/>
          <w:sz w:val="28"/>
          <w:szCs w:val="28"/>
          <w:u w:val="single"/>
        </w:rPr>
      </w:pPr>
      <w:r>
        <w:rPr>
          <w:color w:val="auto"/>
          <w:sz w:val="28"/>
          <w:szCs w:val="28"/>
        </w:rPr>
        <w:t>采购项目编号：</w:t>
      </w:r>
      <w:r>
        <w:rPr>
          <w:color w:val="auto"/>
          <w:sz w:val="28"/>
          <w:szCs w:val="28"/>
          <w:u w:val="single"/>
        </w:rPr>
        <w:t xml:space="preserve">                       </w:t>
      </w:r>
    </w:p>
    <w:p>
      <w:pPr>
        <w:spacing w:line="600" w:lineRule="auto"/>
        <w:ind w:firstLine="2158" w:firstLineChars="771"/>
        <w:rPr>
          <w:color w:val="auto"/>
          <w:sz w:val="28"/>
          <w:szCs w:val="28"/>
        </w:rPr>
      </w:pPr>
    </w:p>
    <w:p>
      <w:pPr>
        <w:tabs>
          <w:tab w:val="left" w:pos="2625"/>
        </w:tabs>
        <w:spacing w:line="600" w:lineRule="auto"/>
        <w:jc w:val="center"/>
        <w:rPr>
          <w:color w:val="auto"/>
          <w:szCs w:val="21"/>
        </w:rPr>
      </w:pPr>
    </w:p>
    <w:p>
      <w:pPr>
        <w:tabs>
          <w:tab w:val="left" w:pos="2625"/>
        </w:tabs>
        <w:spacing w:line="500" w:lineRule="exact"/>
        <w:jc w:val="center"/>
        <w:rPr>
          <w:color w:val="auto"/>
          <w:szCs w:val="21"/>
        </w:rPr>
      </w:pPr>
    </w:p>
    <w:p>
      <w:pPr>
        <w:tabs>
          <w:tab w:val="left" w:pos="2625"/>
        </w:tabs>
        <w:spacing w:line="500" w:lineRule="exact"/>
        <w:jc w:val="center"/>
        <w:rPr>
          <w:color w:val="auto"/>
          <w:szCs w:val="21"/>
        </w:rPr>
      </w:pPr>
    </w:p>
    <w:p>
      <w:pPr>
        <w:tabs>
          <w:tab w:val="left" w:pos="2625"/>
        </w:tabs>
        <w:spacing w:line="500" w:lineRule="exact"/>
        <w:jc w:val="center"/>
        <w:rPr>
          <w:color w:val="auto"/>
          <w:szCs w:val="21"/>
        </w:rPr>
      </w:pPr>
    </w:p>
    <w:p>
      <w:pPr>
        <w:spacing w:line="500" w:lineRule="exact"/>
        <w:rPr>
          <w:color w:val="auto"/>
          <w:szCs w:val="21"/>
        </w:rPr>
      </w:pPr>
    </w:p>
    <w:p>
      <w:pPr>
        <w:spacing w:line="500" w:lineRule="exact"/>
        <w:jc w:val="center"/>
        <w:rPr>
          <w:color w:val="auto"/>
          <w:sz w:val="28"/>
          <w:szCs w:val="28"/>
        </w:rPr>
      </w:pPr>
      <w:r>
        <w:rPr>
          <w:color w:val="auto"/>
          <w:sz w:val="28"/>
          <w:szCs w:val="28"/>
        </w:rPr>
        <w:t xml:space="preserve">                           （竞标</w:t>
      </w:r>
      <w:r>
        <w:rPr>
          <w:rFonts w:hint="eastAsia"/>
          <w:color w:val="auto"/>
          <w:sz w:val="28"/>
          <w:szCs w:val="28"/>
        </w:rPr>
        <w:t>人</w:t>
      </w:r>
      <w:r>
        <w:rPr>
          <w:color w:val="auto"/>
          <w:sz w:val="28"/>
          <w:szCs w:val="28"/>
        </w:rPr>
        <w:t>名称）</w:t>
      </w:r>
    </w:p>
    <w:p>
      <w:pPr>
        <w:spacing w:line="500" w:lineRule="exact"/>
        <w:jc w:val="center"/>
        <w:rPr>
          <w:color w:val="auto"/>
          <w:sz w:val="28"/>
          <w:szCs w:val="28"/>
        </w:rPr>
      </w:pPr>
      <w:r>
        <w:rPr>
          <w:color w:val="auto"/>
          <w:sz w:val="28"/>
          <w:szCs w:val="28"/>
        </w:rPr>
        <w:t xml:space="preserve">                           年    月    日</w:t>
      </w:r>
    </w:p>
    <w:p>
      <w:pPr>
        <w:spacing w:line="320" w:lineRule="exact"/>
        <w:rPr>
          <w:color w:val="auto"/>
          <w:szCs w:val="21"/>
        </w:rPr>
      </w:pPr>
    </w:p>
    <w:p>
      <w:pPr>
        <w:spacing w:line="520" w:lineRule="exact"/>
        <w:rPr>
          <w:color w:val="auto"/>
          <w:szCs w:val="21"/>
        </w:rPr>
      </w:pPr>
    </w:p>
    <w:p>
      <w:pPr>
        <w:spacing w:line="520" w:lineRule="exact"/>
        <w:rPr>
          <w:color w:val="auto"/>
          <w:szCs w:val="21"/>
        </w:rPr>
      </w:pPr>
    </w:p>
    <w:p>
      <w:pPr>
        <w:spacing w:line="520" w:lineRule="exact"/>
        <w:jc w:val="center"/>
        <w:rPr>
          <w:b/>
          <w:color w:val="auto"/>
          <w:sz w:val="28"/>
          <w:szCs w:val="28"/>
        </w:rPr>
      </w:pPr>
    </w:p>
    <w:p>
      <w:pPr>
        <w:spacing w:line="520" w:lineRule="exact"/>
        <w:jc w:val="center"/>
        <w:rPr>
          <w:b/>
          <w:color w:val="auto"/>
          <w:sz w:val="28"/>
          <w:szCs w:val="28"/>
        </w:rPr>
      </w:pPr>
    </w:p>
    <w:p>
      <w:pPr>
        <w:spacing w:line="520" w:lineRule="exact"/>
        <w:jc w:val="center"/>
        <w:rPr>
          <w:b/>
          <w:color w:val="auto"/>
          <w:sz w:val="28"/>
          <w:szCs w:val="28"/>
        </w:rPr>
      </w:pPr>
    </w:p>
    <w:p>
      <w:pPr>
        <w:spacing w:line="520" w:lineRule="exact"/>
        <w:jc w:val="center"/>
        <w:rPr>
          <w:b/>
          <w:color w:val="auto"/>
          <w:sz w:val="28"/>
          <w:szCs w:val="28"/>
        </w:rPr>
      </w:pPr>
      <w:r>
        <w:rPr>
          <w:b/>
          <w:color w:val="auto"/>
          <w:sz w:val="28"/>
          <w:szCs w:val="28"/>
        </w:rPr>
        <w:t>目  录</w:t>
      </w:r>
    </w:p>
    <w:p>
      <w:pPr>
        <w:adjustRightInd w:val="0"/>
        <w:snapToGrid w:val="0"/>
        <w:spacing w:line="360" w:lineRule="auto"/>
        <w:rPr>
          <w:color w:val="auto"/>
          <w:sz w:val="24"/>
          <w:highlight w:val="none"/>
        </w:rPr>
      </w:pPr>
      <w:r>
        <w:rPr>
          <w:color w:val="auto"/>
          <w:sz w:val="24"/>
          <w:highlight w:val="none"/>
        </w:rPr>
        <w:t>1.磋商函-------------------------------------------------------------（页码）</w:t>
      </w:r>
    </w:p>
    <w:p>
      <w:pPr>
        <w:adjustRightInd w:val="0"/>
        <w:snapToGrid w:val="0"/>
        <w:spacing w:line="360" w:lineRule="auto"/>
        <w:rPr>
          <w:color w:val="auto"/>
          <w:sz w:val="24"/>
          <w:highlight w:val="none"/>
        </w:rPr>
      </w:pPr>
      <w:r>
        <w:rPr>
          <w:color w:val="auto"/>
          <w:sz w:val="24"/>
          <w:highlight w:val="none"/>
        </w:rPr>
        <w:t>2.报价表--------------------------------------------------</w:t>
      </w:r>
    </w:p>
    <w:p>
      <w:pPr>
        <w:adjustRightInd w:val="0"/>
        <w:snapToGrid w:val="0"/>
        <w:spacing w:line="360" w:lineRule="auto"/>
        <w:rPr>
          <w:color w:val="auto"/>
          <w:sz w:val="24"/>
          <w:highlight w:val="none"/>
        </w:rPr>
      </w:pPr>
      <w:r>
        <w:rPr>
          <w:color w:val="auto"/>
          <w:sz w:val="24"/>
          <w:highlight w:val="none"/>
        </w:rPr>
        <w:t>3.</w:t>
      </w:r>
      <w:r>
        <w:rPr>
          <w:rFonts w:hint="eastAsia"/>
          <w:color w:val="auto"/>
          <w:sz w:val="24"/>
          <w:highlight w:val="none"/>
        </w:rPr>
        <w:t>建设运营方案</w:t>
      </w:r>
      <w:r>
        <w:rPr>
          <w:color w:val="auto"/>
          <w:sz w:val="24"/>
          <w:highlight w:val="none"/>
        </w:rPr>
        <w:t>--------------------------------------------------</w:t>
      </w:r>
    </w:p>
    <w:p>
      <w:pPr>
        <w:adjustRightInd w:val="0"/>
        <w:snapToGrid w:val="0"/>
        <w:spacing w:line="360" w:lineRule="auto"/>
        <w:rPr>
          <w:color w:val="auto"/>
          <w:sz w:val="24"/>
          <w:highlight w:val="none"/>
        </w:rPr>
      </w:pPr>
      <w:r>
        <w:rPr>
          <w:color w:val="auto"/>
          <w:sz w:val="24"/>
          <w:highlight w:val="none"/>
        </w:rPr>
        <w:t>4.商务、技术响应、偏离情况说明表---------------------------------------------</w:t>
      </w:r>
    </w:p>
    <w:p>
      <w:pPr>
        <w:adjustRightInd w:val="0"/>
        <w:snapToGrid w:val="0"/>
        <w:spacing w:line="360" w:lineRule="auto"/>
        <w:rPr>
          <w:color w:val="auto"/>
          <w:sz w:val="24"/>
        </w:rPr>
      </w:pPr>
      <w:r>
        <w:rPr>
          <w:color w:val="auto"/>
          <w:sz w:val="24"/>
          <w:highlight w:val="none"/>
        </w:rPr>
        <w:t>5.法定代</w:t>
      </w:r>
      <w:r>
        <w:rPr>
          <w:color w:val="auto"/>
          <w:sz w:val="24"/>
        </w:rPr>
        <w:t>表人授权书原件及委托代理人身份证复印件-------------------------------</w:t>
      </w:r>
    </w:p>
    <w:p>
      <w:pPr>
        <w:adjustRightInd w:val="0"/>
        <w:snapToGrid w:val="0"/>
        <w:spacing w:line="360" w:lineRule="auto"/>
        <w:rPr>
          <w:color w:val="auto"/>
          <w:sz w:val="24"/>
        </w:rPr>
      </w:pPr>
      <w:r>
        <w:rPr>
          <w:color w:val="auto"/>
          <w:sz w:val="24"/>
        </w:rPr>
        <w:t>6.竞标人有效的“营业执照”副本内页复印件------------------------------</w:t>
      </w:r>
    </w:p>
    <w:p>
      <w:pPr>
        <w:adjustRightInd w:val="0"/>
        <w:snapToGrid w:val="0"/>
        <w:spacing w:line="360" w:lineRule="auto"/>
        <w:rPr>
          <w:color w:val="auto"/>
          <w:sz w:val="24"/>
        </w:rPr>
      </w:pPr>
      <w:r>
        <w:rPr>
          <w:rFonts w:hint="eastAsia"/>
          <w:color w:val="auto"/>
          <w:sz w:val="24"/>
        </w:rPr>
        <w:t>7</w:t>
      </w:r>
      <w:r>
        <w:rPr>
          <w:color w:val="auto"/>
          <w:sz w:val="24"/>
        </w:rPr>
        <w:t>.其他特殊资质证明------------------------------</w:t>
      </w:r>
    </w:p>
    <w:p>
      <w:pPr>
        <w:adjustRightInd w:val="0"/>
        <w:snapToGrid w:val="0"/>
        <w:spacing w:line="360" w:lineRule="auto"/>
        <w:rPr>
          <w:color w:val="auto"/>
          <w:sz w:val="24"/>
        </w:rPr>
      </w:pPr>
      <w:r>
        <w:rPr>
          <w:rFonts w:hint="eastAsia"/>
          <w:color w:val="auto"/>
          <w:sz w:val="24"/>
        </w:rPr>
        <w:t>8</w:t>
      </w:r>
      <w:r>
        <w:rPr>
          <w:color w:val="auto"/>
          <w:sz w:val="24"/>
        </w:rPr>
        <w:t>.竞标人认为可以证明其能力或业绩的其他材料------------------------------</w:t>
      </w:r>
    </w:p>
    <w:p>
      <w:pPr>
        <w:adjustRightInd w:val="0"/>
        <w:snapToGrid w:val="0"/>
        <w:spacing w:line="360" w:lineRule="auto"/>
        <w:rPr>
          <w:color w:val="auto"/>
          <w:sz w:val="24"/>
        </w:rPr>
      </w:pPr>
      <w:r>
        <w:rPr>
          <w:rFonts w:hint="eastAsia"/>
          <w:color w:val="auto"/>
          <w:sz w:val="24"/>
        </w:rPr>
        <w:t>9</w:t>
      </w:r>
      <w:r>
        <w:rPr>
          <w:color w:val="auto"/>
          <w:sz w:val="24"/>
        </w:rPr>
        <w:t>.项目实施人员一览表-------------------------</w:t>
      </w:r>
    </w:p>
    <w:p>
      <w:pPr>
        <w:spacing w:line="360" w:lineRule="auto"/>
        <w:rPr>
          <w:color w:val="auto"/>
          <w:sz w:val="24"/>
        </w:rPr>
      </w:pPr>
      <w:r>
        <w:rPr>
          <w:color w:val="auto"/>
          <w:sz w:val="24"/>
        </w:rPr>
        <w:t>1</w:t>
      </w:r>
      <w:r>
        <w:rPr>
          <w:rFonts w:hint="eastAsia"/>
          <w:color w:val="auto"/>
          <w:sz w:val="24"/>
        </w:rPr>
        <w:t>0</w:t>
      </w:r>
      <w:r>
        <w:rPr>
          <w:color w:val="auto"/>
          <w:sz w:val="24"/>
        </w:rPr>
        <w:t>.竞标人对本项目的合理化建议和改进措施---------</w:t>
      </w:r>
    </w:p>
    <w:p>
      <w:pPr>
        <w:spacing w:line="360" w:lineRule="auto"/>
        <w:rPr>
          <w:color w:val="auto"/>
          <w:sz w:val="24"/>
        </w:rPr>
      </w:pPr>
      <w:r>
        <w:rPr>
          <w:color w:val="auto"/>
          <w:sz w:val="24"/>
        </w:rPr>
        <w:t>1</w:t>
      </w:r>
      <w:r>
        <w:rPr>
          <w:rFonts w:hint="eastAsia"/>
          <w:color w:val="auto"/>
          <w:sz w:val="24"/>
        </w:rPr>
        <w:t>1</w:t>
      </w:r>
      <w:r>
        <w:rPr>
          <w:color w:val="auto"/>
          <w:sz w:val="24"/>
        </w:rPr>
        <w:t>.本竞争性磋商文件要求提供的其他资料和需要说明的问题---------</w:t>
      </w:r>
    </w:p>
    <w:p>
      <w:pPr>
        <w:widowControl/>
        <w:jc w:val="left"/>
        <w:rPr>
          <w:color w:val="auto"/>
          <w:szCs w:val="21"/>
        </w:rPr>
      </w:pPr>
      <w:r>
        <w:rPr>
          <w:color w:val="auto"/>
          <w:szCs w:val="21"/>
        </w:rPr>
        <w:br w:type="page"/>
      </w:r>
    </w:p>
    <w:p>
      <w:pPr>
        <w:spacing w:line="520" w:lineRule="exact"/>
        <w:rPr>
          <w:color w:val="auto"/>
          <w:szCs w:val="21"/>
        </w:rPr>
      </w:pPr>
      <w:r>
        <w:rPr>
          <w:color w:val="auto"/>
          <w:szCs w:val="21"/>
        </w:rPr>
        <w:t xml:space="preserve">附件一 </w:t>
      </w:r>
    </w:p>
    <w:p>
      <w:pPr>
        <w:spacing w:line="520" w:lineRule="exact"/>
        <w:jc w:val="center"/>
        <w:rPr>
          <w:rFonts w:ascii="黑体" w:hAnsi="黑体" w:eastAsia="黑体" w:cs="黑体"/>
          <w:bCs/>
          <w:color w:val="auto"/>
          <w:sz w:val="36"/>
          <w:szCs w:val="36"/>
        </w:rPr>
      </w:pPr>
      <w:r>
        <w:rPr>
          <w:rFonts w:hint="eastAsia" w:ascii="黑体" w:hAnsi="黑体" w:eastAsia="黑体" w:cs="黑体"/>
          <w:bCs/>
          <w:color w:val="auto"/>
          <w:sz w:val="36"/>
          <w:szCs w:val="36"/>
        </w:rPr>
        <w:t>磋商函</w:t>
      </w:r>
    </w:p>
    <w:p>
      <w:pPr>
        <w:spacing w:line="520" w:lineRule="exact"/>
        <w:jc w:val="center"/>
        <w:rPr>
          <w:color w:val="auto"/>
          <w:szCs w:val="21"/>
        </w:rPr>
      </w:pPr>
    </w:p>
    <w:p>
      <w:pPr>
        <w:pStyle w:val="9"/>
        <w:spacing w:line="520" w:lineRule="exact"/>
        <w:rPr>
          <w:rFonts w:ascii="Times New Roman" w:hAnsi="Times New Roman" w:cs="Times New Roman"/>
          <w:color w:val="auto"/>
        </w:rPr>
      </w:pPr>
      <w:r>
        <w:rPr>
          <w:rFonts w:ascii="Times New Roman" w:hAnsi="Times New Roman" w:cs="Times New Roman"/>
          <w:bCs/>
          <w:color w:val="auto"/>
          <w:szCs w:val="20"/>
        </w:rPr>
        <w:t>广西东博国际</w:t>
      </w:r>
      <w:r>
        <w:rPr>
          <w:rFonts w:hint="eastAsia" w:ascii="Times New Roman" w:hAnsi="Times New Roman" w:cs="Times New Roman"/>
          <w:bCs/>
          <w:color w:val="auto"/>
          <w:szCs w:val="20"/>
        </w:rPr>
        <w:t>经贸投资</w:t>
      </w:r>
      <w:r>
        <w:rPr>
          <w:rFonts w:ascii="Times New Roman" w:hAnsi="Times New Roman" w:cs="Times New Roman"/>
          <w:bCs/>
          <w:color w:val="auto"/>
          <w:szCs w:val="20"/>
        </w:rPr>
        <w:t>有限公司</w:t>
      </w:r>
      <w:r>
        <w:rPr>
          <w:rFonts w:ascii="Times New Roman" w:hAnsi="Times New Roman" w:cs="Times New Roman"/>
          <w:color w:val="auto"/>
        </w:rPr>
        <w:t>：</w:t>
      </w:r>
    </w:p>
    <w:p>
      <w:pPr>
        <w:pStyle w:val="9"/>
        <w:spacing w:line="520" w:lineRule="exact"/>
        <w:ind w:firstLine="480"/>
        <w:rPr>
          <w:rFonts w:ascii="Times New Roman" w:hAnsi="Times New Roman" w:cs="Times New Roman"/>
          <w:color w:val="auto"/>
        </w:rPr>
      </w:pPr>
      <w:r>
        <w:rPr>
          <w:rFonts w:ascii="Times New Roman" w:hAnsi="Times New Roman" w:cs="Times New Roman"/>
          <w:color w:val="auto"/>
        </w:rPr>
        <w:t>依据贵方</w:t>
      </w:r>
      <w:r>
        <w:rPr>
          <w:rFonts w:hint="eastAsia" w:ascii="Times New Roman" w:hAnsi="Times New Roman" w:cs="Times New Roman"/>
          <w:color w:val="auto"/>
          <w:u w:val="single"/>
          <w:lang w:val="en-US" w:eastAsia="zh-CN"/>
        </w:rPr>
        <w:t>（项目名称）</w:t>
      </w:r>
      <w:r>
        <w:rPr>
          <w:rFonts w:ascii="Times New Roman" w:hAnsi="Times New Roman" w:cs="Times New Roman"/>
          <w:color w:val="auto"/>
        </w:rPr>
        <w:t>项目采购的磋商邀请，我方</w:t>
      </w:r>
      <w:r>
        <w:rPr>
          <w:rFonts w:ascii="Times New Roman" w:hAnsi="Times New Roman" w:cs="Times New Roman"/>
          <w:color w:val="auto"/>
          <w:u w:val="single"/>
        </w:rPr>
        <w:t>（姓名和职务）</w:t>
      </w:r>
      <w:r>
        <w:rPr>
          <w:rFonts w:ascii="Times New Roman" w:hAnsi="Times New Roman" w:cs="Times New Roman"/>
          <w:color w:val="auto"/>
        </w:rPr>
        <w:t>经正式授权并代表竞标人</w:t>
      </w:r>
      <w:r>
        <w:rPr>
          <w:rFonts w:ascii="Times New Roman" w:hAnsi="Times New Roman" w:cs="Times New Roman"/>
          <w:color w:val="auto"/>
          <w:u w:val="single"/>
        </w:rPr>
        <w:t>（磋商</w:t>
      </w:r>
      <w:r>
        <w:rPr>
          <w:rFonts w:hint="eastAsia" w:ascii="Times New Roman" w:hAnsi="Times New Roman" w:cs="Times New Roman"/>
          <w:color w:val="auto"/>
          <w:u w:val="single"/>
        </w:rPr>
        <w:t>竞标人</w:t>
      </w:r>
      <w:r>
        <w:rPr>
          <w:rFonts w:ascii="Times New Roman" w:hAnsi="Times New Roman" w:cs="Times New Roman"/>
          <w:color w:val="auto"/>
          <w:u w:val="single"/>
        </w:rPr>
        <w:t>名称、地址）</w:t>
      </w:r>
      <w:r>
        <w:rPr>
          <w:rFonts w:ascii="Times New Roman" w:hAnsi="Times New Roman" w:cs="Times New Roman"/>
          <w:color w:val="auto"/>
        </w:rPr>
        <w:t>提交下述竞争性磋商响应文件正本一份和副本</w:t>
      </w:r>
      <w:r>
        <w:rPr>
          <w:rFonts w:ascii="Times New Roman" w:hAnsi="Times New Roman" w:cs="Times New Roman"/>
          <w:color w:val="auto"/>
          <w:u w:val="single"/>
        </w:rPr>
        <w:t xml:space="preserve"> </w:t>
      </w:r>
      <w:r>
        <w:rPr>
          <w:rFonts w:hint="eastAsia" w:ascii="Times New Roman" w:hAnsi="Times New Roman" w:cs="Times New Roman"/>
          <w:color w:val="auto"/>
          <w:u w:val="single"/>
          <w:lang w:val="en-US" w:eastAsia="zh-CN"/>
        </w:rPr>
        <w:t>叁</w:t>
      </w:r>
      <w:r>
        <w:rPr>
          <w:rFonts w:ascii="Times New Roman" w:hAnsi="Times New Roman" w:cs="Times New Roman"/>
          <w:color w:val="auto"/>
          <w:u w:val="single"/>
        </w:rPr>
        <w:t xml:space="preserve"> </w:t>
      </w:r>
      <w:r>
        <w:rPr>
          <w:rFonts w:ascii="Times New Roman" w:hAnsi="Times New Roman" w:cs="Times New Roman"/>
          <w:color w:val="auto"/>
        </w:rPr>
        <w:t>份。</w:t>
      </w:r>
    </w:p>
    <w:p>
      <w:pPr>
        <w:pStyle w:val="9"/>
        <w:spacing w:line="520" w:lineRule="exact"/>
        <w:ind w:firstLine="480"/>
        <w:rPr>
          <w:rFonts w:ascii="Times New Roman" w:hAnsi="Times New Roman" w:cs="Times New Roman"/>
          <w:color w:val="auto"/>
        </w:rPr>
      </w:pPr>
      <w:r>
        <w:rPr>
          <w:rFonts w:ascii="Times New Roman" w:hAnsi="Times New Roman" w:cs="Times New Roman"/>
          <w:color w:val="auto"/>
        </w:rPr>
        <w:t>1.磋商报价表；</w:t>
      </w:r>
    </w:p>
    <w:p>
      <w:pPr>
        <w:pStyle w:val="9"/>
        <w:spacing w:line="520" w:lineRule="exact"/>
        <w:ind w:firstLine="480"/>
        <w:rPr>
          <w:rFonts w:ascii="Times New Roman" w:hAnsi="Times New Roman" w:cs="Times New Roman"/>
          <w:color w:val="auto"/>
        </w:rPr>
      </w:pPr>
      <w:r>
        <w:rPr>
          <w:rFonts w:ascii="Times New Roman" w:hAnsi="Times New Roman" w:cs="Times New Roman"/>
          <w:color w:val="auto"/>
        </w:rPr>
        <w:t>2.服务（技术设计）方案</w:t>
      </w:r>
    </w:p>
    <w:p>
      <w:pPr>
        <w:pStyle w:val="9"/>
        <w:spacing w:line="520" w:lineRule="exact"/>
        <w:ind w:firstLine="480"/>
        <w:rPr>
          <w:rFonts w:ascii="Times New Roman" w:hAnsi="Times New Roman" w:cs="Times New Roman"/>
          <w:color w:val="auto"/>
        </w:rPr>
      </w:pPr>
      <w:r>
        <w:rPr>
          <w:rFonts w:ascii="Times New Roman" w:hAnsi="Times New Roman" w:cs="Times New Roman"/>
          <w:color w:val="auto"/>
        </w:rPr>
        <w:t>3.商务、技术响应、偏离情况说明表；</w:t>
      </w:r>
    </w:p>
    <w:p>
      <w:pPr>
        <w:pStyle w:val="9"/>
        <w:spacing w:line="520" w:lineRule="exact"/>
        <w:ind w:firstLine="480"/>
        <w:rPr>
          <w:rFonts w:ascii="Times New Roman" w:hAnsi="Times New Roman" w:cs="Times New Roman"/>
          <w:color w:val="auto"/>
        </w:rPr>
      </w:pPr>
      <w:r>
        <w:rPr>
          <w:rFonts w:ascii="Times New Roman" w:hAnsi="Times New Roman" w:cs="Times New Roman"/>
          <w:color w:val="auto"/>
        </w:rPr>
        <w:t>4.按竞争性磋商文件竞标人须知和技术规格要求提供的有关文件；</w:t>
      </w:r>
    </w:p>
    <w:p>
      <w:pPr>
        <w:pStyle w:val="9"/>
        <w:spacing w:line="520" w:lineRule="exact"/>
        <w:ind w:firstLine="480"/>
        <w:rPr>
          <w:rFonts w:ascii="Times New Roman" w:hAnsi="Times New Roman" w:cs="Times New Roman"/>
          <w:color w:val="auto"/>
        </w:rPr>
      </w:pPr>
      <w:r>
        <w:rPr>
          <w:rFonts w:ascii="Times New Roman" w:hAnsi="Times New Roman" w:cs="Times New Roman"/>
          <w:color w:val="auto"/>
        </w:rPr>
        <w:t>5.资格证明文件；</w:t>
      </w:r>
    </w:p>
    <w:p>
      <w:pPr>
        <w:pStyle w:val="9"/>
        <w:spacing w:line="520" w:lineRule="exact"/>
        <w:ind w:firstLine="315" w:firstLineChars="150"/>
        <w:rPr>
          <w:rFonts w:ascii="Times New Roman" w:hAnsi="Times New Roman" w:cs="Times New Roman"/>
          <w:color w:val="auto"/>
        </w:rPr>
      </w:pPr>
      <w:r>
        <w:rPr>
          <w:rFonts w:ascii="Times New Roman" w:hAnsi="Times New Roman" w:cs="Times New Roman"/>
          <w:color w:val="auto"/>
        </w:rPr>
        <w:t>在此，授权代表宣布同意如下：</w:t>
      </w:r>
    </w:p>
    <w:p>
      <w:pPr>
        <w:pStyle w:val="9"/>
        <w:spacing w:line="520" w:lineRule="exact"/>
        <w:ind w:firstLine="480"/>
        <w:rPr>
          <w:rFonts w:ascii="Times New Roman" w:hAnsi="Times New Roman" w:cs="Times New Roman"/>
          <w:color w:val="auto"/>
        </w:rPr>
      </w:pPr>
      <w:r>
        <w:rPr>
          <w:rFonts w:ascii="Times New Roman" w:hAnsi="Times New Roman" w:cs="Times New Roman"/>
          <w:color w:val="auto"/>
        </w:rPr>
        <w:t>1.将按竞争性磋商文件的约定履行合同责任和义务；</w:t>
      </w:r>
    </w:p>
    <w:p>
      <w:pPr>
        <w:pStyle w:val="9"/>
        <w:spacing w:line="520" w:lineRule="exact"/>
        <w:ind w:left="840" w:hanging="360"/>
        <w:rPr>
          <w:rFonts w:ascii="Times New Roman" w:hAnsi="Times New Roman" w:cs="Times New Roman"/>
          <w:color w:val="auto"/>
        </w:rPr>
      </w:pPr>
      <w:r>
        <w:rPr>
          <w:rFonts w:ascii="Times New Roman" w:hAnsi="Times New Roman" w:cs="Times New Roman"/>
          <w:color w:val="auto"/>
        </w:rPr>
        <w:t>2.已详细审查全部竞争性磋商文件，包括</w:t>
      </w:r>
      <w:r>
        <w:rPr>
          <w:rFonts w:ascii="Times New Roman" w:hAnsi="Times New Roman" w:cs="Times New Roman"/>
          <w:color w:val="auto"/>
          <w:u w:val="single"/>
        </w:rPr>
        <w:t>（补遗文件）（如果有的话）</w:t>
      </w:r>
      <w:r>
        <w:rPr>
          <w:rFonts w:ascii="Times New Roman" w:hAnsi="Times New Roman" w:cs="Times New Roman"/>
          <w:color w:val="auto"/>
        </w:rPr>
        <w:t>；我们完全理解并同意放弃对这方面有不明及误解的权力；</w:t>
      </w:r>
    </w:p>
    <w:p>
      <w:pPr>
        <w:pStyle w:val="9"/>
        <w:spacing w:line="520" w:lineRule="exact"/>
        <w:ind w:left="840" w:hanging="360"/>
        <w:rPr>
          <w:rFonts w:ascii="Times New Roman" w:hAnsi="Times New Roman" w:cs="Times New Roman"/>
          <w:color w:val="auto"/>
        </w:rPr>
      </w:pPr>
      <w:r>
        <w:rPr>
          <w:rFonts w:ascii="Times New Roman" w:hAnsi="Times New Roman" w:cs="Times New Roman"/>
          <w:color w:val="auto"/>
        </w:rPr>
        <w:t>3.同意提供按照贵方可能要求的与其磋商有关的一切数据或资料；</w:t>
      </w:r>
    </w:p>
    <w:p>
      <w:pPr>
        <w:pStyle w:val="9"/>
        <w:spacing w:line="520" w:lineRule="exact"/>
        <w:ind w:firstLine="480"/>
        <w:rPr>
          <w:rFonts w:ascii="Times New Roman" w:hAnsi="Times New Roman" w:cs="Times New Roman"/>
          <w:color w:val="auto"/>
          <w:u w:val="single"/>
        </w:rPr>
      </w:pPr>
      <w:r>
        <w:rPr>
          <w:rFonts w:ascii="Times New Roman" w:hAnsi="Times New Roman" w:cs="Times New Roman"/>
          <w:color w:val="auto"/>
        </w:rPr>
        <w:t>4.与本磋商有关的一切正式往来信函请寄：</w:t>
      </w:r>
      <w:r>
        <w:rPr>
          <w:rFonts w:ascii="Times New Roman" w:hAnsi="Times New Roman" w:cs="Times New Roman"/>
          <w:color w:val="auto"/>
          <w:u w:val="single"/>
        </w:rPr>
        <w:t xml:space="preserve">                       </w:t>
      </w:r>
    </w:p>
    <w:p>
      <w:pPr>
        <w:pStyle w:val="9"/>
        <w:spacing w:line="520" w:lineRule="exact"/>
        <w:ind w:firstLine="840"/>
        <w:rPr>
          <w:rFonts w:ascii="Times New Roman" w:hAnsi="Times New Roman" w:cs="Times New Roman"/>
          <w:color w:val="auto"/>
        </w:rPr>
      </w:pPr>
      <w:r>
        <w:rPr>
          <w:rFonts w:ascii="Times New Roman" w:hAnsi="Times New Roman" w:cs="Times New Roman"/>
          <w:color w:val="auto"/>
        </w:rPr>
        <w:t>电话/传真：</w:t>
      </w:r>
      <w:r>
        <w:rPr>
          <w:rFonts w:ascii="Times New Roman" w:hAnsi="Times New Roman" w:cs="Times New Roman"/>
          <w:color w:val="auto"/>
          <w:u w:val="single"/>
        </w:rPr>
        <w:t xml:space="preserve">                        </w:t>
      </w:r>
      <w:r>
        <w:rPr>
          <w:rFonts w:ascii="Times New Roman" w:hAnsi="Times New Roman" w:cs="Times New Roman"/>
          <w:color w:val="auto"/>
        </w:rPr>
        <w:t xml:space="preserve"> 电子函件：</w:t>
      </w:r>
      <w:r>
        <w:rPr>
          <w:rFonts w:ascii="Times New Roman" w:hAnsi="Times New Roman" w:cs="Times New Roman"/>
          <w:color w:val="auto"/>
          <w:u w:val="single"/>
        </w:rPr>
        <w:t xml:space="preserve">             </w:t>
      </w:r>
      <w:r>
        <w:rPr>
          <w:rFonts w:ascii="Times New Roman" w:hAnsi="Times New Roman" w:cs="Times New Roman"/>
          <w:color w:val="auto"/>
        </w:rPr>
        <w:t xml:space="preserve">              </w:t>
      </w:r>
    </w:p>
    <w:p>
      <w:pPr>
        <w:pStyle w:val="9"/>
        <w:spacing w:line="520" w:lineRule="exact"/>
        <w:ind w:firstLine="840"/>
        <w:rPr>
          <w:rFonts w:ascii="Times New Roman" w:hAnsi="Times New Roman" w:cs="Times New Roman"/>
          <w:color w:val="auto"/>
          <w:u w:val="single"/>
        </w:rPr>
      </w:pPr>
      <w:r>
        <w:rPr>
          <w:rFonts w:ascii="Times New Roman" w:hAnsi="Times New Roman" w:cs="Times New Roman"/>
          <w:color w:val="auto"/>
        </w:rPr>
        <w:t>日期：</w:t>
      </w:r>
      <w:r>
        <w:rPr>
          <w:rFonts w:ascii="Times New Roman" w:hAnsi="Times New Roman" w:cs="Times New Roman"/>
          <w:color w:val="auto"/>
          <w:u w:val="single"/>
        </w:rPr>
        <w:t xml:space="preserve">      </w:t>
      </w:r>
      <w:r>
        <w:rPr>
          <w:rFonts w:ascii="Times New Roman" w:hAnsi="Times New Roman" w:cs="Times New Roman"/>
          <w:color w:val="auto"/>
        </w:rPr>
        <w:t>年</w:t>
      </w:r>
      <w:r>
        <w:rPr>
          <w:rFonts w:ascii="Times New Roman" w:hAnsi="Times New Roman" w:cs="Times New Roman"/>
          <w:color w:val="auto"/>
          <w:u w:val="single"/>
        </w:rPr>
        <w:t xml:space="preserve">   </w:t>
      </w:r>
      <w:r>
        <w:rPr>
          <w:rFonts w:ascii="Times New Roman" w:hAnsi="Times New Roman" w:cs="Times New Roman"/>
          <w:color w:val="auto"/>
        </w:rPr>
        <w:t>月</w:t>
      </w:r>
      <w:r>
        <w:rPr>
          <w:rFonts w:ascii="Times New Roman" w:hAnsi="Times New Roman" w:cs="Times New Roman"/>
          <w:color w:val="auto"/>
          <w:u w:val="single"/>
        </w:rPr>
        <w:t xml:space="preserve">    </w:t>
      </w:r>
      <w:r>
        <w:rPr>
          <w:rFonts w:ascii="Times New Roman" w:hAnsi="Times New Roman" w:cs="Times New Roman"/>
          <w:color w:val="auto"/>
        </w:rPr>
        <w:t>日</w:t>
      </w:r>
    </w:p>
    <w:p>
      <w:pPr>
        <w:pStyle w:val="9"/>
        <w:spacing w:line="520" w:lineRule="exact"/>
        <w:ind w:firstLine="840"/>
        <w:rPr>
          <w:rFonts w:ascii="Times New Roman" w:hAnsi="Times New Roman" w:cs="Times New Roman"/>
          <w:color w:val="auto"/>
          <w:u w:val="single"/>
        </w:rPr>
      </w:pPr>
      <w:r>
        <w:rPr>
          <w:rFonts w:ascii="Times New Roman" w:hAnsi="Times New Roman" w:cs="Times New Roman"/>
          <w:color w:val="auto"/>
        </w:rPr>
        <w:t>竞标人或法定代表人授权代表签字：</w:t>
      </w:r>
      <w:r>
        <w:rPr>
          <w:rFonts w:ascii="Times New Roman" w:hAnsi="Times New Roman" w:cs="Times New Roman"/>
          <w:color w:val="auto"/>
          <w:u w:val="single"/>
        </w:rPr>
        <w:t xml:space="preserve">                       </w:t>
      </w:r>
    </w:p>
    <w:p>
      <w:pPr>
        <w:pStyle w:val="9"/>
        <w:spacing w:line="520" w:lineRule="exact"/>
        <w:ind w:firstLine="840"/>
        <w:rPr>
          <w:rFonts w:ascii="Times New Roman" w:hAnsi="Times New Roman" w:cs="Times New Roman"/>
          <w:color w:val="auto"/>
        </w:rPr>
      </w:pPr>
      <w:r>
        <w:rPr>
          <w:rFonts w:hint="eastAsia" w:ascii="Times New Roman" w:hAnsi="Times New Roman" w:cs="Times New Roman"/>
          <w:color w:val="auto"/>
        </w:rPr>
        <w:t>竞标人</w:t>
      </w:r>
      <w:r>
        <w:rPr>
          <w:rFonts w:ascii="Times New Roman" w:hAnsi="Times New Roman" w:cs="Times New Roman"/>
          <w:color w:val="auto"/>
        </w:rPr>
        <w:t>名称（签章）：</w:t>
      </w:r>
      <w:r>
        <w:rPr>
          <w:rFonts w:ascii="Times New Roman" w:hAnsi="Times New Roman" w:cs="Times New Roman"/>
          <w:color w:val="auto"/>
          <w:u w:val="single"/>
        </w:rPr>
        <w:t xml:space="preserve">                                    </w:t>
      </w:r>
      <w:r>
        <w:rPr>
          <w:rFonts w:ascii="Times New Roman" w:hAnsi="Times New Roman" w:cs="Times New Roman"/>
          <w:color w:val="auto"/>
        </w:rPr>
        <w:t xml:space="preserve">                           </w:t>
      </w:r>
    </w:p>
    <w:p>
      <w:pPr>
        <w:pStyle w:val="9"/>
        <w:spacing w:line="520" w:lineRule="exact"/>
        <w:ind w:firstLine="840"/>
        <w:rPr>
          <w:rFonts w:ascii="Times New Roman" w:hAnsi="Times New Roman" w:cs="Times New Roman"/>
          <w:color w:val="auto"/>
        </w:rPr>
      </w:pPr>
      <w:r>
        <w:rPr>
          <w:rFonts w:ascii="Times New Roman" w:hAnsi="Times New Roman" w:cs="Times New Roman"/>
          <w:color w:val="auto"/>
        </w:rPr>
        <w:t>开户银行：</w:t>
      </w:r>
      <w:r>
        <w:rPr>
          <w:rFonts w:ascii="Times New Roman" w:hAnsi="Times New Roman" w:cs="Times New Roman"/>
          <w:color w:val="auto"/>
          <w:u w:val="single"/>
        </w:rPr>
        <w:t xml:space="preserve">                         </w:t>
      </w:r>
      <w:r>
        <w:rPr>
          <w:rFonts w:ascii="Times New Roman" w:hAnsi="Times New Roman" w:cs="Times New Roman"/>
          <w:color w:val="auto"/>
        </w:rPr>
        <w:t xml:space="preserve">  帐号/行号：</w:t>
      </w:r>
      <w:r>
        <w:rPr>
          <w:rFonts w:ascii="Times New Roman" w:hAnsi="Times New Roman" w:cs="Times New Roman"/>
          <w:color w:val="auto"/>
          <w:u w:val="single"/>
        </w:rPr>
        <w:t xml:space="preserve">                 </w:t>
      </w:r>
      <w:r>
        <w:rPr>
          <w:rFonts w:ascii="Times New Roman" w:hAnsi="Times New Roman" w:cs="Times New Roman"/>
          <w:color w:val="auto"/>
        </w:rPr>
        <w:t xml:space="preserve"> </w:t>
      </w:r>
    </w:p>
    <w:p>
      <w:pPr>
        <w:spacing w:line="360" w:lineRule="exact"/>
        <w:rPr>
          <w:color w:val="auto"/>
          <w:szCs w:val="21"/>
        </w:rPr>
      </w:pPr>
    </w:p>
    <w:p>
      <w:pPr>
        <w:spacing w:line="300" w:lineRule="auto"/>
        <w:rPr>
          <w:color w:val="auto"/>
          <w:szCs w:val="21"/>
        </w:rPr>
      </w:pPr>
    </w:p>
    <w:p>
      <w:pPr>
        <w:spacing w:line="300" w:lineRule="auto"/>
        <w:rPr>
          <w:color w:val="auto"/>
          <w:szCs w:val="21"/>
        </w:rPr>
      </w:pPr>
    </w:p>
    <w:p>
      <w:pPr>
        <w:spacing w:line="500" w:lineRule="exact"/>
        <w:rPr>
          <w:color w:val="auto"/>
          <w:szCs w:val="21"/>
        </w:rPr>
      </w:pPr>
    </w:p>
    <w:p>
      <w:pPr>
        <w:spacing w:line="500" w:lineRule="exact"/>
        <w:jc w:val="center"/>
        <w:rPr>
          <w:color w:val="auto"/>
          <w:szCs w:val="21"/>
        </w:rPr>
      </w:pPr>
    </w:p>
    <w:p>
      <w:pPr>
        <w:spacing w:line="500" w:lineRule="exact"/>
        <w:rPr>
          <w:color w:val="auto"/>
          <w:szCs w:val="21"/>
        </w:rPr>
      </w:pPr>
    </w:p>
    <w:p>
      <w:pPr>
        <w:spacing w:line="500" w:lineRule="exact"/>
        <w:rPr>
          <w:color w:val="auto"/>
          <w:szCs w:val="21"/>
        </w:rPr>
      </w:pPr>
      <w:r>
        <w:rPr>
          <w:color w:val="auto"/>
          <w:szCs w:val="21"/>
        </w:rPr>
        <w:t xml:space="preserve">附件二             </w:t>
      </w:r>
    </w:p>
    <w:p>
      <w:pPr>
        <w:spacing w:line="500" w:lineRule="exact"/>
        <w:jc w:val="center"/>
        <w:rPr>
          <w:rFonts w:ascii="黑体" w:hAnsi="黑体" w:eastAsia="黑体" w:cs="黑体"/>
          <w:color w:val="auto"/>
          <w:sz w:val="36"/>
          <w:szCs w:val="36"/>
        </w:rPr>
      </w:pPr>
      <w:r>
        <w:rPr>
          <w:rFonts w:hint="eastAsia" w:ascii="黑体" w:hAnsi="黑体" w:eastAsia="黑体" w:cs="黑体"/>
          <w:color w:val="auto"/>
          <w:sz w:val="36"/>
          <w:szCs w:val="36"/>
        </w:rPr>
        <w:t>磋商报价表</w:t>
      </w:r>
    </w:p>
    <w:p>
      <w:pPr>
        <w:spacing w:line="500" w:lineRule="exact"/>
        <w:jc w:val="center"/>
        <w:rPr>
          <w:rFonts w:ascii="黑体" w:hAnsi="黑体" w:eastAsia="黑体" w:cs="黑体"/>
          <w:color w:val="auto"/>
          <w:szCs w:val="21"/>
        </w:rPr>
      </w:pPr>
    </w:p>
    <w:p>
      <w:pPr>
        <w:spacing w:line="500" w:lineRule="exact"/>
        <w:rPr>
          <w:color w:val="auto"/>
          <w:szCs w:val="21"/>
        </w:rPr>
      </w:pPr>
      <w:r>
        <w:rPr>
          <w:color w:val="auto"/>
          <w:szCs w:val="21"/>
        </w:rPr>
        <w:t>采购项目名称:</w:t>
      </w:r>
      <w:r>
        <w:rPr>
          <w:color w:val="auto"/>
          <w:szCs w:val="21"/>
          <w:u w:val="single"/>
        </w:rPr>
        <w:t xml:space="preserve">                 </w:t>
      </w:r>
      <w:r>
        <w:rPr>
          <w:color w:val="auto"/>
          <w:szCs w:val="21"/>
        </w:rPr>
        <w:t xml:space="preserve">    </w:t>
      </w:r>
    </w:p>
    <w:p>
      <w:pPr>
        <w:spacing w:line="500" w:lineRule="exact"/>
        <w:rPr>
          <w:color w:val="auto"/>
          <w:szCs w:val="21"/>
        </w:rPr>
      </w:pPr>
      <w:r>
        <w:rPr>
          <w:color w:val="auto"/>
          <w:szCs w:val="21"/>
        </w:rPr>
        <w:t xml:space="preserve">                                                                     单位：</w:t>
      </w:r>
      <w:r>
        <w:rPr>
          <w:rFonts w:hint="eastAsia"/>
          <w:color w:val="auto"/>
          <w:szCs w:val="21"/>
          <w:lang w:val="en-US" w:eastAsia="zh-CN"/>
        </w:rPr>
        <w:t xml:space="preserve">        </w:t>
      </w:r>
      <w:r>
        <w:rPr>
          <w:color w:val="auto"/>
          <w:szCs w:val="21"/>
        </w:rPr>
        <w:t>元</w:t>
      </w:r>
    </w:p>
    <w:tbl>
      <w:tblPr>
        <w:tblStyle w:val="15"/>
        <w:tblpPr w:leftFromText="180" w:rightFromText="180" w:vertAnchor="text" w:horzAnchor="page" w:tblpX="1309" w:tblpY="215"/>
        <w:tblOverlap w:val="never"/>
        <w:tblW w:w="94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708"/>
        <w:gridCol w:w="2387"/>
        <w:gridCol w:w="766"/>
        <w:gridCol w:w="1063"/>
        <w:gridCol w:w="1582"/>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27" w:type="dxa"/>
            <w:vAlign w:val="center"/>
          </w:tcPr>
          <w:p>
            <w:pPr>
              <w:pStyle w:val="9"/>
              <w:jc w:val="center"/>
              <w:rPr>
                <w:rFonts w:ascii="Times New Roman" w:hAnsi="Times New Roman" w:cs="Times New Roman"/>
                <w:color w:val="auto"/>
                <w:spacing w:val="-20"/>
              </w:rPr>
            </w:pPr>
            <w:r>
              <w:rPr>
                <w:rFonts w:ascii="Times New Roman" w:hAnsi="Times New Roman" w:cs="Times New Roman"/>
                <w:color w:val="auto"/>
                <w:spacing w:val="-20"/>
              </w:rPr>
              <w:t>序号</w:t>
            </w:r>
          </w:p>
        </w:tc>
        <w:tc>
          <w:tcPr>
            <w:tcW w:w="1708" w:type="dxa"/>
            <w:vAlign w:val="center"/>
          </w:tcPr>
          <w:p>
            <w:pPr>
              <w:pStyle w:val="9"/>
              <w:jc w:val="center"/>
              <w:rPr>
                <w:rFonts w:ascii="Times New Roman" w:hAnsi="Times New Roman" w:cs="Times New Roman"/>
                <w:color w:val="auto"/>
                <w:spacing w:val="-20"/>
              </w:rPr>
            </w:pPr>
            <w:r>
              <w:rPr>
                <w:rFonts w:ascii="Times New Roman" w:hAnsi="Times New Roman" w:cs="Times New Roman"/>
                <w:color w:val="auto"/>
                <w:spacing w:val="-20"/>
              </w:rPr>
              <w:t>名称</w:t>
            </w:r>
          </w:p>
        </w:tc>
        <w:tc>
          <w:tcPr>
            <w:tcW w:w="2387" w:type="dxa"/>
            <w:vAlign w:val="center"/>
          </w:tcPr>
          <w:p>
            <w:pPr>
              <w:pStyle w:val="9"/>
              <w:jc w:val="center"/>
              <w:rPr>
                <w:rFonts w:ascii="Times New Roman" w:hAnsi="Times New Roman" w:cs="Times New Roman"/>
                <w:color w:val="auto"/>
                <w:spacing w:val="-20"/>
              </w:rPr>
            </w:pPr>
            <w:r>
              <w:rPr>
                <w:rFonts w:ascii="Times New Roman" w:hAnsi="Times New Roman" w:cs="Times New Roman"/>
                <w:color w:val="auto"/>
              </w:rPr>
              <w:t>服务项目要求(或技术参数需求)</w:t>
            </w:r>
          </w:p>
        </w:tc>
        <w:tc>
          <w:tcPr>
            <w:tcW w:w="766" w:type="dxa"/>
            <w:vAlign w:val="center"/>
          </w:tcPr>
          <w:p>
            <w:pPr>
              <w:pStyle w:val="9"/>
              <w:jc w:val="center"/>
              <w:rPr>
                <w:rFonts w:ascii="Times New Roman" w:hAnsi="Times New Roman" w:cs="Times New Roman"/>
                <w:color w:val="auto"/>
              </w:rPr>
            </w:pPr>
            <w:r>
              <w:rPr>
                <w:rFonts w:ascii="Times New Roman" w:hAnsi="Times New Roman" w:cs="Times New Roman"/>
                <w:color w:val="auto"/>
              </w:rPr>
              <w:t>数量①</w:t>
            </w:r>
          </w:p>
        </w:tc>
        <w:tc>
          <w:tcPr>
            <w:tcW w:w="1063" w:type="dxa"/>
            <w:vAlign w:val="center"/>
          </w:tcPr>
          <w:p>
            <w:pPr>
              <w:pStyle w:val="9"/>
              <w:jc w:val="center"/>
              <w:rPr>
                <w:rFonts w:ascii="Times New Roman" w:hAnsi="Times New Roman" w:cs="Times New Roman"/>
                <w:color w:val="auto"/>
              </w:rPr>
            </w:pPr>
            <w:r>
              <w:rPr>
                <w:rFonts w:ascii="Times New Roman" w:hAnsi="Times New Roman" w:cs="Times New Roman"/>
                <w:color w:val="auto"/>
              </w:rPr>
              <w:t>单价（元）②</w:t>
            </w:r>
          </w:p>
        </w:tc>
        <w:tc>
          <w:tcPr>
            <w:tcW w:w="1582" w:type="dxa"/>
            <w:vAlign w:val="center"/>
          </w:tcPr>
          <w:p>
            <w:pPr>
              <w:pStyle w:val="9"/>
              <w:rPr>
                <w:rFonts w:ascii="Times New Roman" w:hAnsi="Times New Roman" w:cs="Times New Roman"/>
                <w:color w:val="auto"/>
              </w:rPr>
            </w:pPr>
            <w:r>
              <w:rPr>
                <w:rFonts w:ascii="Times New Roman" w:hAnsi="Times New Roman" w:cs="Times New Roman"/>
                <w:color w:val="auto"/>
              </w:rPr>
              <w:t>单项合价（元）</w:t>
            </w:r>
          </w:p>
          <w:p>
            <w:pPr>
              <w:pStyle w:val="9"/>
              <w:rPr>
                <w:rFonts w:ascii="Times New Roman" w:hAnsi="Times New Roman" w:cs="Times New Roman"/>
                <w:color w:val="auto"/>
              </w:rPr>
            </w:pPr>
            <w:r>
              <w:rPr>
                <w:rFonts w:ascii="Times New Roman" w:hAnsi="Times New Roman" w:cs="Times New Roman"/>
                <w:color w:val="auto"/>
              </w:rPr>
              <w:t>③＝①×②</w:t>
            </w:r>
          </w:p>
        </w:tc>
        <w:tc>
          <w:tcPr>
            <w:tcW w:w="1342" w:type="dxa"/>
            <w:vAlign w:val="center"/>
          </w:tcPr>
          <w:p>
            <w:pPr>
              <w:pStyle w:val="9"/>
              <w:jc w:val="center"/>
              <w:rPr>
                <w:rFonts w:ascii="Times New Roman" w:hAnsi="Times New Roman" w:cs="Times New Roman"/>
                <w:color w:val="auto"/>
              </w:rPr>
            </w:pPr>
            <w:r>
              <w:rPr>
                <w:rFonts w:ascii="Times New Roman" w:hAnsi="Times New Roman" w:cs="Times New Roman"/>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27" w:type="dxa"/>
            <w:vAlign w:val="center"/>
          </w:tcPr>
          <w:p>
            <w:pPr>
              <w:jc w:val="center"/>
              <w:rPr>
                <w:color w:val="auto"/>
                <w:szCs w:val="21"/>
              </w:rPr>
            </w:pPr>
            <w:r>
              <w:rPr>
                <w:color w:val="auto"/>
                <w:szCs w:val="21"/>
              </w:rPr>
              <w:t>1</w:t>
            </w:r>
          </w:p>
        </w:tc>
        <w:tc>
          <w:tcPr>
            <w:tcW w:w="1708" w:type="dxa"/>
            <w:vAlign w:val="center"/>
          </w:tcPr>
          <w:p>
            <w:pPr>
              <w:jc w:val="center"/>
              <w:rPr>
                <w:rFonts w:hint="eastAsia" w:eastAsia="宋体"/>
                <w:color w:val="auto"/>
                <w:szCs w:val="21"/>
                <w:lang w:eastAsia="zh-CN"/>
              </w:rPr>
            </w:pPr>
            <w:r>
              <w:rPr>
                <w:color w:val="auto"/>
              </w:rPr>
              <w:t>…</w:t>
            </w:r>
          </w:p>
        </w:tc>
        <w:tc>
          <w:tcPr>
            <w:tcW w:w="2387" w:type="dxa"/>
            <w:vAlign w:val="center"/>
          </w:tcPr>
          <w:p>
            <w:pPr>
              <w:pStyle w:val="9"/>
              <w:rPr>
                <w:rFonts w:ascii="Times New Roman" w:hAnsi="Times New Roman" w:cs="Times New Roman"/>
                <w:color w:val="auto"/>
              </w:rPr>
            </w:pPr>
            <w:r>
              <w:rPr>
                <w:color w:val="auto"/>
              </w:rPr>
              <w:t>…</w:t>
            </w:r>
          </w:p>
        </w:tc>
        <w:tc>
          <w:tcPr>
            <w:tcW w:w="766" w:type="dxa"/>
            <w:vAlign w:val="center"/>
          </w:tcPr>
          <w:p>
            <w:pPr>
              <w:pStyle w:val="9"/>
              <w:rPr>
                <w:rFonts w:ascii="Times New Roman" w:hAnsi="Times New Roman" w:cs="Times New Roman"/>
                <w:color w:val="auto"/>
              </w:rPr>
            </w:pPr>
          </w:p>
        </w:tc>
        <w:tc>
          <w:tcPr>
            <w:tcW w:w="1063" w:type="dxa"/>
            <w:vAlign w:val="center"/>
          </w:tcPr>
          <w:p>
            <w:pPr>
              <w:pStyle w:val="9"/>
              <w:rPr>
                <w:rFonts w:ascii="Times New Roman" w:hAnsi="Times New Roman" w:cs="Times New Roman"/>
                <w:color w:val="auto"/>
              </w:rPr>
            </w:pPr>
          </w:p>
        </w:tc>
        <w:tc>
          <w:tcPr>
            <w:tcW w:w="1582" w:type="dxa"/>
            <w:vAlign w:val="center"/>
          </w:tcPr>
          <w:p>
            <w:pPr>
              <w:pStyle w:val="9"/>
              <w:rPr>
                <w:rFonts w:ascii="Times New Roman" w:hAnsi="Times New Roman" w:cs="Times New Roman"/>
                <w:color w:val="auto"/>
              </w:rPr>
            </w:pPr>
          </w:p>
        </w:tc>
        <w:tc>
          <w:tcPr>
            <w:tcW w:w="1342" w:type="dxa"/>
            <w:vAlign w:val="center"/>
          </w:tcPr>
          <w:p>
            <w:pPr>
              <w:pStyle w:val="9"/>
              <w:rPr>
                <w:rFonts w:ascii="Times New Roman" w:hAnsi="Times New Roman" w:cs="Times New Roman"/>
                <w:color w:val="auto"/>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27" w:type="dxa"/>
            <w:vAlign w:val="center"/>
          </w:tcPr>
          <w:p>
            <w:pPr>
              <w:jc w:val="center"/>
              <w:rPr>
                <w:color w:val="auto"/>
                <w:szCs w:val="21"/>
              </w:rPr>
            </w:pPr>
            <w:r>
              <w:rPr>
                <w:color w:val="auto"/>
                <w:szCs w:val="21"/>
              </w:rPr>
              <w:t>2</w:t>
            </w:r>
          </w:p>
        </w:tc>
        <w:tc>
          <w:tcPr>
            <w:tcW w:w="1708" w:type="dxa"/>
            <w:vAlign w:val="center"/>
          </w:tcPr>
          <w:p>
            <w:pPr>
              <w:jc w:val="center"/>
              <w:rPr>
                <w:color w:val="auto"/>
                <w:szCs w:val="21"/>
              </w:rPr>
            </w:pPr>
            <w:r>
              <w:rPr>
                <w:color w:val="auto"/>
              </w:rPr>
              <w:t>…</w:t>
            </w:r>
          </w:p>
        </w:tc>
        <w:tc>
          <w:tcPr>
            <w:tcW w:w="2387" w:type="dxa"/>
            <w:vAlign w:val="center"/>
          </w:tcPr>
          <w:p>
            <w:pPr>
              <w:pStyle w:val="9"/>
              <w:rPr>
                <w:rFonts w:ascii="Times New Roman" w:hAnsi="Times New Roman" w:cs="Times New Roman"/>
                <w:color w:val="auto"/>
              </w:rPr>
            </w:pPr>
            <w:r>
              <w:rPr>
                <w:color w:val="auto"/>
              </w:rPr>
              <w:t>…</w:t>
            </w:r>
          </w:p>
        </w:tc>
        <w:tc>
          <w:tcPr>
            <w:tcW w:w="766" w:type="dxa"/>
            <w:vAlign w:val="center"/>
          </w:tcPr>
          <w:p>
            <w:pPr>
              <w:pStyle w:val="9"/>
              <w:rPr>
                <w:rFonts w:ascii="Times New Roman" w:hAnsi="Times New Roman" w:cs="Times New Roman"/>
                <w:color w:val="auto"/>
              </w:rPr>
            </w:pPr>
          </w:p>
        </w:tc>
        <w:tc>
          <w:tcPr>
            <w:tcW w:w="1063" w:type="dxa"/>
            <w:vAlign w:val="center"/>
          </w:tcPr>
          <w:p>
            <w:pPr>
              <w:pStyle w:val="9"/>
              <w:rPr>
                <w:rFonts w:ascii="Times New Roman" w:hAnsi="Times New Roman" w:cs="Times New Roman"/>
                <w:color w:val="auto"/>
              </w:rPr>
            </w:pPr>
          </w:p>
        </w:tc>
        <w:tc>
          <w:tcPr>
            <w:tcW w:w="1582" w:type="dxa"/>
            <w:vAlign w:val="center"/>
          </w:tcPr>
          <w:p>
            <w:pPr>
              <w:pStyle w:val="9"/>
              <w:rPr>
                <w:rFonts w:ascii="Times New Roman" w:hAnsi="Times New Roman" w:cs="Times New Roman"/>
                <w:color w:val="auto"/>
              </w:rPr>
            </w:pPr>
          </w:p>
        </w:tc>
        <w:tc>
          <w:tcPr>
            <w:tcW w:w="1342" w:type="dxa"/>
            <w:vAlign w:val="center"/>
          </w:tcPr>
          <w:p>
            <w:pPr>
              <w:pStyle w:val="9"/>
              <w:rPr>
                <w:rFonts w:ascii="Times New Roman" w:hAnsi="Times New Roman" w:cs="Times New Roman"/>
                <w:color w:val="auto"/>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27" w:type="dxa"/>
            <w:vAlign w:val="center"/>
          </w:tcPr>
          <w:p>
            <w:pPr>
              <w:jc w:val="center"/>
              <w:rPr>
                <w:rFonts w:hint="eastAsia" w:eastAsia="宋体"/>
                <w:color w:val="auto"/>
                <w:szCs w:val="21"/>
                <w:lang w:val="en-US" w:eastAsia="zh-CN"/>
              </w:rPr>
            </w:pPr>
            <w:r>
              <w:rPr>
                <w:rFonts w:hint="eastAsia"/>
                <w:color w:val="auto"/>
                <w:szCs w:val="21"/>
                <w:lang w:val="en-US" w:eastAsia="zh-CN"/>
              </w:rPr>
              <w:t>3</w:t>
            </w:r>
          </w:p>
        </w:tc>
        <w:tc>
          <w:tcPr>
            <w:tcW w:w="1708" w:type="dxa"/>
            <w:vAlign w:val="center"/>
          </w:tcPr>
          <w:p>
            <w:pPr>
              <w:jc w:val="center"/>
              <w:rPr>
                <w:color w:val="auto"/>
                <w:szCs w:val="21"/>
              </w:rPr>
            </w:pPr>
            <w:r>
              <w:rPr>
                <w:color w:val="auto"/>
              </w:rPr>
              <w:t>…</w:t>
            </w:r>
          </w:p>
        </w:tc>
        <w:tc>
          <w:tcPr>
            <w:tcW w:w="2387" w:type="dxa"/>
            <w:vAlign w:val="center"/>
          </w:tcPr>
          <w:p>
            <w:pPr>
              <w:pStyle w:val="9"/>
              <w:rPr>
                <w:rFonts w:ascii="Times New Roman" w:hAnsi="Times New Roman" w:cs="Times New Roman"/>
                <w:color w:val="auto"/>
              </w:rPr>
            </w:pPr>
            <w:r>
              <w:rPr>
                <w:color w:val="auto"/>
              </w:rPr>
              <w:t>…</w:t>
            </w:r>
          </w:p>
        </w:tc>
        <w:tc>
          <w:tcPr>
            <w:tcW w:w="766" w:type="dxa"/>
            <w:vAlign w:val="center"/>
          </w:tcPr>
          <w:p>
            <w:pPr>
              <w:pStyle w:val="9"/>
              <w:rPr>
                <w:rFonts w:ascii="Times New Roman" w:hAnsi="Times New Roman" w:cs="Times New Roman"/>
                <w:color w:val="auto"/>
              </w:rPr>
            </w:pPr>
          </w:p>
        </w:tc>
        <w:tc>
          <w:tcPr>
            <w:tcW w:w="1063" w:type="dxa"/>
            <w:vAlign w:val="center"/>
          </w:tcPr>
          <w:p>
            <w:pPr>
              <w:pStyle w:val="9"/>
              <w:rPr>
                <w:rFonts w:ascii="Times New Roman" w:hAnsi="Times New Roman" w:cs="Times New Roman"/>
                <w:color w:val="auto"/>
              </w:rPr>
            </w:pPr>
            <w:r>
              <w:rPr>
                <w:rFonts w:ascii="Times New Roman" w:hAnsi="Times New Roman" w:cs="Times New Roman"/>
                <w:color w:val="auto"/>
              </w:rPr>
              <w:t>…</w:t>
            </w:r>
          </w:p>
        </w:tc>
        <w:tc>
          <w:tcPr>
            <w:tcW w:w="1582" w:type="dxa"/>
            <w:vAlign w:val="center"/>
          </w:tcPr>
          <w:p>
            <w:pPr>
              <w:pStyle w:val="9"/>
              <w:rPr>
                <w:rFonts w:ascii="Times New Roman" w:hAnsi="Times New Roman" w:cs="Times New Roman"/>
                <w:color w:val="auto"/>
              </w:rPr>
            </w:pPr>
          </w:p>
        </w:tc>
        <w:tc>
          <w:tcPr>
            <w:tcW w:w="1342" w:type="dxa"/>
            <w:vAlign w:val="center"/>
          </w:tcPr>
          <w:p>
            <w:pPr>
              <w:pStyle w:val="9"/>
              <w:rPr>
                <w:rFonts w:ascii="Times New Roman" w:hAnsi="Times New Roman" w:cs="Times New Roman"/>
                <w:color w:val="auto"/>
                <w:spacing w:val="-6"/>
              </w:rPr>
            </w:pPr>
            <w:r>
              <w:rPr>
                <w:rFonts w:ascii="Times New Roman" w:hAnsi="Times New Roman"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9475" w:type="dxa"/>
            <w:gridSpan w:val="7"/>
            <w:vAlign w:val="center"/>
          </w:tcPr>
          <w:p>
            <w:pPr>
              <w:pStyle w:val="9"/>
              <w:rPr>
                <w:rFonts w:ascii="Times New Roman" w:hAnsi="Times New Roman" w:cs="Times New Roman"/>
                <w:color w:val="auto"/>
              </w:rPr>
            </w:pPr>
            <w:r>
              <w:rPr>
                <w:rFonts w:hint="eastAsia" w:ascii="Times New Roman" w:hAnsi="Times New Roman" w:cs="Times New Roman"/>
                <w:color w:val="auto"/>
              </w:rPr>
              <w:t>报价总计（大写）：                                           （￥</w:t>
            </w:r>
            <w:r>
              <w:rPr>
                <w:rFonts w:hint="eastAsia" w:ascii="Times New Roman" w:hAnsi="Times New Roman" w:cs="Times New Roman"/>
                <w:color w:val="auto"/>
                <w:lang w:val="en-US" w:eastAsia="zh-CN"/>
              </w:rPr>
              <w:t xml:space="preserve">          </w:t>
            </w:r>
            <w:r>
              <w:rPr>
                <w:rFonts w:hint="eastAsia" w:ascii="Times New Roman" w:hAnsi="Times New Roman" w:cs="Times New Roman"/>
                <w:color w:val="auto"/>
              </w:rPr>
              <w:t>）</w:t>
            </w:r>
          </w:p>
        </w:tc>
      </w:tr>
    </w:tbl>
    <w:p>
      <w:pPr>
        <w:spacing w:line="500" w:lineRule="exact"/>
        <w:rPr>
          <w:color w:val="auto"/>
          <w:szCs w:val="21"/>
        </w:rPr>
      </w:pPr>
      <w:r>
        <w:rPr>
          <w:color w:val="auto"/>
          <w:szCs w:val="21"/>
        </w:rPr>
        <w:t>注：1.所有价格均用人民币表示，单位为元，精确到个数位。</w:t>
      </w:r>
    </w:p>
    <w:p>
      <w:pPr>
        <w:spacing w:line="500" w:lineRule="exact"/>
        <w:rPr>
          <w:color w:val="auto"/>
          <w:szCs w:val="21"/>
        </w:rPr>
      </w:pPr>
      <w:r>
        <w:rPr>
          <w:color w:val="auto"/>
          <w:szCs w:val="21"/>
        </w:rPr>
        <w:t xml:space="preserve">    2.报价指货物、服务、随配附件、备品备件、工具、货物运抵指定交货地点、安装调试的各种费用和售后服务、税金及其它所有成本、费用的总和。</w:t>
      </w:r>
    </w:p>
    <w:p>
      <w:pPr>
        <w:spacing w:line="500" w:lineRule="exact"/>
        <w:rPr>
          <w:color w:val="auto"/>
          <w:szCs w:val="21"/>
        </w:rPr>
      </w:pPr>
    </w:p>
    <w:p>
      <w:pPr>
        <w:pStyle w:val="9"/>
        <w:spacing w:line="500" w:lineRule="exact"/>
        <w:rPr>
          <w:rFonts w:ascii="Times New Roman" w:hAnsi="Times New Roman" w:cs="Times New Roman"/>
          <w:color w:val="auto"/>
          <w:u w:val="single"/>
        </w:rPr>
      </w:pPr>
      <w:r>
        <w:rPr>
          <w:rFonts w:ascii="Times New Roman" w:hAnsi="Times New Roman" w:cs="Times New Roman"/>
          <w:color w:val="auto"/>
        </w:rPr>
        <w:t>法定代表人或法定代表人授权代表（签字）:</w:t>
      </w:r>
      <w:r>
        <w:rPr>
          <w:rFonts w:ascii="Times New Roman" w:hAnsi="Times New Roman" w:cs="Times New Roman"/>
          <w:color w:val="auto"/>
          <w:u w:val="single"/>
        </w:rPr>
        <w:t xml:space="preserve">              </w:t>
      </w:r>
    </w:p>
    <w:p>
      <w:pPr>
        <w:pStyle w:val="9"/>
        <w:spacing w:line="500" w:lineRule="exact"/>
        <w:rPr>
          <w:rFonts w:ascii="Times New Roman" w:hAnsi="Times New Roman" w:cs="Times New Roman"/>
          <w:color w:val="auto"/>
          <w:u w:val="single"/>
        </w:rPr>
      </w:pPr>
      <w:r>
        <w:rPr>
          <w:rFonts w:hint="eastAsia" w:ascii="Times New Roman" w:hAnsi="Times New Roman" w:cs="Times New Roman"/>
          <w:color w:val="auto"/>
        </w:rPr>
        <w:t>竞标人</w:t>
      </w:r>
      <w:r>
        <w:rPr>
          <w:rFonts w:ascii="Times New Roman" w:hAnsi="Times New Roman" w:cs="Times New Roman"/>
          <w:color w:val="auto"/>
        </w:rPr>
        <w:t>名称（签章）：</w:t>
      </w:r>
      <w:r>
        <w:rPr>
          <w:rFonts w:ascii="Times New Roman" w:hAnsi="Times New Roman" w:cs="Times New Roman"/>
          <w:color w:val="auto"/>
          <w:u w:val="single"/>
        </w:rPr>
        <w:t xml:space="preserve">       </w:t>
      </w:r>
    </w:p>
    <w:p>
      <w:pPr>
        <w:pStyle w:val="9"/>
        <w:spacing w:line="500" w:lineRule="exact"/>
        <w:rPr>
          <w:rFonts w:ascii="Times New Roman" w:hAnsi="Times New Roman" w:cs="Times New Roman"/>
          <w:color w:val="auto"/>
          <w:u w:val="single"/>
        </w:rPr>
      </w:pPr>
      <w:r>
        <w:rPr>
          <w:rFonts w:ascii="Times New Roman" w:hAnsi="Times New Roman" w:cs="Times New Roman"/>
          <w:color w:val="auto"/>
        </w:rPr>
        <w:t>报价时间：</w:t>
      </w:r>
      <w:r>
        <w:rPr>
          <w:rFonts w:ascii="Times New Roman" w:hAnsi="Times New Roman" w:cs="Times New Roman"/>
          <w:color w:val="auto"/>
          <w:u w:val="single"/>
        </w:rPr>
        <w:t xml:space="preserve">     </w:t>
      </w:r>
      <w:r>
        <w:rPr>
          <w:rFonts w:ascii="Times New Roman" w:hAnsi="Times New Roman" w:cs="Times New Roman"/>
          <w:color w:val="auto"/>
        </w:rPr>
        <w:t>年</w:t>
      </w:r>
      <w:r>
        <w:rPr>
          <w:rFonts w:ascii="Times New Roman" w:hAnsi="Times New Roman" w:cs="Times New Roman"/>
          <w:color w:val="auto"/>
          <w:u w:val="single"/>
        </w:rPr>
        <w:t xml:space="preserve">     </w:t>
      </w:r>
      <w:r>
        <w:rPr>
          <w:rFonts w:ascii="Times New Roman" w:hAnsi="Times New Roman" w:cs="Times New Roman"/>
          <w:color w:val="auto"/>
        </w:rPr>
        <w:t>月</w:t>
      </w:r>
      <w:r>
        <w:rPr>
          <w:rFonts w:ascii="Times New Roman" w:hAnsi="Times New Roman" w:cs="Times New Roman"/>
          <w:color w:val="auto"/>
          <w:u w:val="single"/>
        </w:rPr>
        <w:t xml:space="preserve">    </w:t>
      </w:r>
      <w:r>
        <w:rPr>
          <w:rFonts w:ascii="Times New Roman" w:hAnsi="Times New Roman" w:cs="Times New Roman"/>
          <w:color w:val="auto"/>
        </w:rPr>
        <w:t xml:space="preserve">日 </w:t>
      </w:r>
    </w:p>
    <w:p>
      <w:pPr>
        <w:adjustRightInd w:val="0"/>
        <w:snapToGrid w:val="0"/>
        <w:spacing w:line="300" w:lineRule="auto"/>
        <w:ind w:left="-88" w:leftChars="-42"/>
        <w:rPr>
          <w:color w:val="auto"/>
          <w:szCs w:val="21"/>
        </w:rPr>
      </w:pPr>
      <w:r>
        <w:rPr>
          <w:color w:val="auto"/>
          <w:szCs w:val="21"/>
        </w:rPr>
        <w:br w:type="page"/>
      </w:r>
    </w:p>
    <w:p>
      <w:pPr>
        <w:pStyle w:val="9"/>
        <w:spacing w:line="300" w:lineRule="auto"/>
        <w:rPr>
          <w:rFonts w:ascii="Times New Roman" w:hAnsi="Times New Roman" w:cs="Times New Roman"/>
          <w:color w:val="auto"/>
          <w:highlight w:val="none"/>
        </w:rPr>
      </w:pPr>
      <w:r>
        <w:rPr>
          <w:rFonts w:ascii="Times New Roman" w:hAnsi="Times New Roman" w:cs="Times New Roman"/>
          <w:color w:val="auto"/>
        </w:rPr>
        <w:t>附件三</w:t>
      </w:r>
    </w:p>
    <w:p>
      <w:pPr>
        <w:adjustRightInd w:val="0"/>
        <w:snapToGrid w:val="0"/>
        <w:spacing w:line="300" w:lineRule="auto"/>
        <w:ind w:left="-88" w:leftChars="-42"/>
        <w:jc w:val="center"/>
        <w:rPr>
          <w:color w:val="auto"/>
          <w:szCs w:val="21"/>
        </w:rPr>
      </w:pPr>
      <w:r>
        <w:rPr>
          <w:color w:val="auto"/>
          <w:szCs w:val="21"/>
          <w:highlight w:val="none"/>
        </w:rPr>
        <w:t>3.</w:t>
      </w:r>
      <w:r>
        <w:rPr>
          <w:rFonts w:hint="eastAsia"/>
          <w:color w:val="auto"/>
          <w:szCs w:val="21"/>
          <w:highlight w:val="none"/>
        </w:rPr>
        <w:t>建设</w:t>
      </w:r>
      <w:r>
        <w:rPr>
          <w:rFonts w:hint="eastAsia" w:ascii="宋体" w:hAnsi="宋体" w:cs="宋体"/>
          <w:color w:val="auto"/>
          <w:szCs w:val="21"/>
          <w:highlight w:val="none"/>
        </w:rPr>
        <w:t>运营</w:t>
      </w:r>
      <w:r>
        <w:rPr>
          <w:rFonts w:hint="eastAsia"/>
          <w:color w:val="auto"/>
          <w:highlight w:val="none"/>
        </w:rPr>
        <w:t>方案</w:t>
      </w:r>
      <w:r>
        <w:rPr>
          <w:color w:val="auto"/>
          <w:szCs w:val="21"/>
          <w:highlight w:val="none"/>
        </w:rPr>
        <w:t>（</w:t>
      </w:r>
      <w:r>
        <w:rPr>
          <w:color w:val="auto"/>
          <w:szCs w:val="21"/>
        </w:rPr>
        <w:t>根据竞争性磋商采购文件中的要求或评分细则内容要求提供）</w:t>
      </w:r>
    </w:p>
    <w:p>
      <w:pPr>
        <w:spacing w:line="300" w:lineRule="auto"/>
        <w:rPr>
          <w:color w:val="auto"/>
          <w:szCs w:val="21"/>
        </w:rPr>
      </w:pPr>
      <w:r>
        <w:rPr>
          <w:color w:val="auto"/>
          <w:szCs w:val="21"/>
        </w:rPr>
        <w:t>采购项目名称:</w:t>
      </w:r>
      <w:r>
        <w:rPr>
          <w:color w:val="auto"/>
          <w:szCs w:val="21"/>
          <w:u w:val="single"/>
        </w:rPr>
        <w:t xml:space="preserve">                 </w:t>
      </w:r>
      <w:r>
        <w:rPr>
          <w:color w:val="auto"/>
          <w:szCs w:val="21"/>
        </w:rPr>
        <w:t xml:space="preserve">    </w:t>
      </w:r>
    </w:p>
    <w:p>
      <w:pPr>
        <w:spacing w:line="300" w:lineRule="auto"/>
        <w:rPr>
          <w:color w:val="auto"/>
          <w:szCs w:val="21"/>
        </w:rPr>
      </w:pPr>
      <w:r>
        <w:rPr>
          <w:color w:val="auto"/>
          <w:szCs w:val="21"/>
        </w:rPr>
        <w:t>采购项目编号:</w:t>
      </w:r>
      <w:r>
        <w:rPr>
          <w:color w:val="auto"/>
          <w:szCs w:val="21"/>
          <w:u w:val="single"/>
        </w:rPr>
        <w:t xml:space="preserve">                 </w:t>
      </w:r>
      <w:r>
        <w:rPr>
          <w:color w:val="auto"/>
          <w:szCs w:val="21"/>
        </w:rPr>
        <w:t xml:space="preserve"> </w:t>
      </w: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spacing w:line="500" w:lineRule="exact"/>
        <w:ind w:firstLine="630" w:firstLineChars="300"/>
        <w:rPr>
          <w:color w:val="auto"/>
          <w:szCs w:val="21"/>
        </w:rPr>
      </w:pPr>
    </w:p>
    <w:p>
      <w:pPr>
        <w:adjustRightInd w:val="0"/>
        <w:snapToGrid w:val="0"/>
        <w:spacing w:line="500" w:lineRule="exact"/>
        <w:rPr>
          <w:color w:val="auto"/>
          <w:szCs w:val="21"/>
        </w:rPr>
      </w:pPr>
    </w:p>
    <w:p>
      <w:pPr>
        <w:adjustRightInd w:val="0"/>
        <w:snapToGrid w:val="0"/>
        <w:spacing w:line="500" w:lineRule="exact"/>
        <w:ind w:firstLine="1785" w:firstLineChars="850"/>
        <w:rPr>
          <w:color w:val="auto"/>
          <w:szCs w:val="21"/>
          <w:u w:val="single"/>
        </w:rPr>
      </w:pPr>
      <w:r>
        <w:rPr>
          <w:color w:val="auto"/>
          <w:szCs w:val="21"/>
        </w:rPr>
        <w:t>法定代表人或法定代表人授权代表签字：</w:t>
      </w:r>
      <w:r>
        <w:rPr>
          <w:color w:val="auto"/>
          <w:szCs w:val="21"/>
          <w:u w:val="single"/>
        </w:rPr>
        <w:t xml:space="preserve">              </w:t>
      </w:r>
    </w:p>
    <w:p>
      <w:pPr>
        <w:pStyle w:val="9"/>
        <w:spacing w:line="500" w:lineRule="exact"/>
        <w:ind w:firstLine="4935" w:firstLineChars="2350"/>
        <w:rPr>
          <w:rFonts w:ascii="Times New Roman" w:hAnsi="Times New Roman" w:cs="Times New Roman"/>
          <w:color w:val="auto"/>
          <w:u w:val="single"/>
        </w:rPr>
      </w:pPr>
      <w:r>
        <w:rPr>
          <w:rFonts w:ascii="Times New Roman" w:hAnsi="Times New Roman" w:cs="Times New Roman"/>
          <w:color w:val="auto"/>
          <w:u w:val="single"/>
        </w:rPr>
        <w:t xml:space="preserve">      </w:t>
      </w:r>
      <w:r>
        <w:rPr>
          <w:rFonts w:ascii="Times New Roman" w:hAnsi="Times New Roman" w:cs="Times New Roman"/>
          <w:color w:val="auto"/>
        </w:rPr>
        <w:t>年</w:t>
      </w:r>
      <w:r>
        <w:rPr>
          <w:rFonts w:ascii="Times New Roman" w:hAnsi="Times New Roman" w:cs="Times New Roman"/>
          <w:color w:val="auto"/>
          <w:u w:val="single"/>
        </w:rPr>
        <w:t xml:space="preserve">   </w:t>
      </w:r>
      <w:r>
        <w:rPr>
          <w:rFonts w:ascii="Times New Roman" w:hAnsi="Times New Roman" w:cs="Times New Roman"/>
          <w:color w:val="auto"/>
        </w:rPr>
        <w:t>月</w:t>
      </w:r>
      <w:r>
        <w:rPr>
          <w:rFonts w:ascii="Times New Roman" w:hAnsi="Times New Roman" w:cs="Times New Roman"/>
          <w:color w:val="auto"/>
          <w:u w:val="single"/>
        </w:rPr>
        <w:t xml:space="preserve">   </w:t>
      </w:r>
      <w:r>
        <w:rPr>
          <w:rFonts w:ascii="Times New Roman" w:hAnsi="Times New Roman" w:cs="Times New Roman"/>
          <w:color w:val="auto"/>
        </w:rPr>
        <w:t>日</w:t>
      </w:r>
    </w:p>
    <w:p>
      <w:pPr>
        <w:adjustRightInd w:val="0"/>
        <w:snapToGrid w:val="0"/>
        <w:spacing w:line="300" w:lineRule="auto"/>
        <w:rPr>
          <w:color w:val="auto"/>
          <w:szCs w:val="21"/>
          <w:u w:val="single"/>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r>
        <w:rPr>
          <w:color w:val="auto"/>
          <w:szCs w:val="21"/>
        </w:rPr>
        <w:br w:type="page"/>
      </w:r>
    </w:p>
    <w:p>
      <w:pPr>
        <w:spacing w:line="300" w:lineRule="auto"/>
        <w:rPr>
          <w:color w:val="auto"/>
          <w:szCs w:val="21"/>
        </w:rPr>
      </w:pPr>
      <w:r>
        <w:rPr>
          <w:color w:val="auto"/>
          <w:szCs w:val="21"/>
        </w:rPr>
        <w:t>附件四</w:t>
      </w:r>
    </w:p>
    <w:p>
      <w:pPr>
        <w:spacing w:line="500" w:lineRule="exact"/>
        <w:jc w:val="center"/>
        <w:rPr>
          <w:rFonts w:ascii="黑体" w:hAnsi="黑体" w:eastAsia="黑体" w:cs="黑体"/>
          <w:color w:val="auto"/>
          <w:sz w:val="36"/>
          <w:szCs w:val="36"/>
        </w:rPr>
      </w:pPr>
      <w:r>
        <w:rPr>
          <w:rFonts w:hint="eastAsia" w:ascii="黑体" w:hAnsi="黑体" w:eastAsia="黑体" w:cs="黑体"/>
          <w:color w:val="auto"/>
          <w:sz w:val="36"/>
          <w:szCs w:val="36"/>
        </w:rPr>
        <w:t>商务、技术响应、偏离情况说明表</w:t>
      </w:r>
    </w:p>
    <w:p>
      <w:pPr>
        <w:pStyle w:val="3"/>
        <w:rPr>
          <w:color w:val="auto"/>
        </w:rPr>
      </w:pPr>
    </w:p>
    <w:p>
      <w:pPr>
        <w:spacing w:line="300" w:lineRule="auto"/>
        <w:rPr>
          <w:color w:val="auto"/>
          <w:szCs w:val="21"/>
        </w:rPr>
      </w:pPr>
      <w:r>
        <w:rPr>
          <w:color w:val="auto"/>
          <w:szCs w:val="21"/>
        </w:rPr>
        <w:t>采购项目名称:</w:t>
      </w:r>
      <w:r>
        <w:rPr>
          <w:color w:val="auto"/>
          <w:szCs w:val="21"/>
          <w:u w:val="single"/>
        </w:rPr>
        <w:t xml:space="preserve">                 </w:t>
      </w:r>
      <w:r>
        <w:rPr>
          <w:color w:val="auto"/>
          <w:szCs w:val="21"/>
        </w:rPr>
        <w:t xml:space="preserve">    </w:t>
      </w:r>
    </w:p>
    <w:p>
      <w:pPr>
        <w:spacing w:line="300" w:lineRule="auto"/>
        <w:rPr>
          <w:color w:val="auto"/>
          <w:szCs w:val="21"/>
          <w:u w:val="single"/>
        </w:rPr>
      </w:pPr>
      <w:r>
        <w:rPr>
          <w:color w:val="auto"/>
          <w:szCs w:val="21"/>
        </w:rPr>
        <w:t>采购项目编号:</w:t>
      </w:r>
      <w:r>
        <w:rPr>
          <w:color w:val="auto"/>
          <w:szCs w:val="21"/>
          <w:u w:val="single"/>
        </w:rPr>
        <w:t xml:space="preserve">                 </w:t>
      </w:r>
    </w:p>
    <w:p>
      <w:pPr>
        <w:spacing w:line="300" w:lineRule="auto"/>
        <w:rPr>
          <w:color w:val="auto"/>
          <w:szCs w:val="21"/>
        </w:rPr>
      </w:pPr>
      <w:r>
        <w:rPr>
          <w:color w:val="auto"/>
          <w:szCs w:val="21"/>
        </w:rPr>
        <w:t xml:space="preserve">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35"/>
        <w:gridCol w:w="1600"/>
        <w:gridCol w:w="2944"/>
        <w:gridCol w:w="3087"/>
        <w:gridCol w:w="914"/>
        <w:gridCol w:w="79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977" w:type="dxa"/>
            <w:gridSpan w:val="6"/>
          </w:tcPr>
          <w:p>
            <w:pPr>
              <w:adjustRightInd w:val="0"/>
              <w:snapToGrid w:val="0"/>
              <w:spacing w:line="300" w:lineRule="auto"/>
              <w:jc w:val="center"/>
              <w:rPr>
                <w:b/>
                <w:color w:val="auto"/>
                <w:szCs w:val="21"/>
              </w:rPr>
            </w:pPr>
            <w:bookmarkStart w:id="42" w:name="_Toc479693561"/>
            <w:r>
              <w:rPr>
                <w:b/>
                <w:color w:val="auto"/>
                <w:szCs w:val="21"/>
              </w:rPr>
              <w:t>商务部分</w:t>
            </w:r>
            <w:bookmarkEnd w:id="42"/>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vAlign w:val="center"/>
          </w:tcPr>
          <w:p>
            <w:pPr>
              <w:jc w:val="center"/>
              <w:rPr>
                <w:color w:val="auto"/>
              </w:rPr>
            </w:pPr>
            <w:r>
              <w:rPr>
                <w:color w:val="auto"/>
              </w:rPr>
              <w:t>序号</w:t>
            </w:r>
          </w:p>
        </w:tc>
        <w:tc>
          <w:tcPr>
            <w:tcW w:w="1600" w:type="dxa"/>
            <w:vAlign w:val="center"/>
          </w:tcPr>
          <w:p>
            <w:pPr>
              <w:adjustRightInd w:val="0"/>
              <w:snapToGrid w:val="0"/>
              <w:spacing w:line="300" w:lineRule="auto"/>
              <w:jc w:val="center"/>
              <w:rPr>
                <w:color w:val="auto"/>
                <w:szCs w:val="21"/>
              </w:rPr>
            </w:pPr>
            <w:r>
              <w:rPr>
                <w:color w:val="auto"/>
                <w:szCs w:val="21"/>
              </w:rPr>
              <w:t>事项</w:t>
            </w:r>
          </w:p>
        </w:tc>
        <w:tc>
          <w:tcPr>
            <w:tcW w:w="2944" w:type="dxa"/>
            <w:vAlign w:val="center"/>
          </w:tcPr>
          <w:p>
            <w:pPr>
              <w:adjustRightInd w:val="0"/>
              <w:snapToGrid w:val="0"/>
              <w:spacing w:line="300" w:lineRule="auto"/>
              <w:jc w:val="center"/>
              <w:rPr>
                <w:color w:val="auto"/>
                <w:szCs w:val="21"/>
              </w:rPr>
            </w:pPr>
            <w:bookmarkStart w:id="43" w:name="_Toc479693557"/>
            <w:r>
              <w:rPr>
                <w:color w:val="auto"/>
                <w:szCs w:val="21"/>
              </w:rPr>
              <w:t>竞争性磋商文件要求</w:t>
            </w:r>
            <w:bookmarkEnd w:id="43"/>
          </w:p>
        </w:tc>
        <w:tc>
          <w:tcPr>
            <w:tcW w:w="3087" w:type="dxa"/>
            <w:vAlign w:val="center"/>
          </w:tcPr>
          <w:p>
            <w:pPr>
              <w:adjustRightInd w:val="0"/>
              <w:snapToGrid w:val="0"/>
              <w:spacing w:line="300" w:lineRule="auto"/>
              <w:jc w:val="center"/>
              <w:rPr>
                <w:color w:val="auto"/>
                <w:szCs w:val="21"/>
              </w:rPr>
            </w:pPr>
            <w:bookmarkStart w:id="44" w:name="_Toc479693558"/>
            <w:r>
              <w:rPr>
                <w:color w:val="auto"/>
                <w:szCs w:val="21"/>
              </w:rPr>
              <w:t>竞争性磋商响应文件具体响应</w:t>
            </w:r>
            <w:bookmarkEnd w:id="44"/>
          </w:p>
        </w:tc>
        <w:tc>
          <w:tcPr>
            <w:tcW w:w="914" w:type="dxa"/>
            <w:vAlign w:val="center"/>
          </w:tcPr>
          <w:p>
            <w:pPr>
              <w:adjustRightInd w:val="0"/>
              <w:snapToGrid w:val="0"/>
              <w:spacing w:line="300" w:lineRule="auto"/>
              <w:jc w:val="center"/>
              <w:rPr>
                <w:color w:val="auto"/>
                <w:szCs w:val="21"/>
              </w:rPr>
            </w:pPr>
            <w:bookmarkStart w:id="45" w:name="_Toc479693559"/>
            <w:r>
              <w:rPr>
                <w:color w:val="auto"/>
                <w:szCs w:val="21"/>
              </w:rPr>
              <w:t>响应/偏离</w:t>
            </w:r>
            <w:bookmarkEnd w:id="45"/>
          </w:p>
        </w:tc>
        <w:tc>
          <w:tcPr>
            <w:tcW w:w="797" w:type="dxa"/>
            <w:vAlign w:val="center"/>
          </w:tcPr>
          <w:p>
            <w:pPr>
              <w:adjustRightInd w:val="0"/>
              <w:snapToGrid w:val="0"/>
              <w:spacing w:line="300" w:lineRule="auto"/>
              <w:jc w:val="center"/>
              <w:rPr>
                <w:color w:val="auto"/>
                <w:szCs w:val="21"/>
              </w:rPr>
            </w:pPr>
            <w:bookmarkStart w:id="46" w:name="_Toc479693560"/>
            <w:r>
              <w:rPr>
                <w:color w:val="auto"/>
                <w:szCs w:val="21"/>
              </w:rPr>
              <w:t>说明</w:t>
            </w:r>
            <w:bookmarkEnd w:id="46"/>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35" w:type="dxa"/>
            <w:vAlign w:val="center"/>
          </w:tcPr>
          <w:p>
            <w:pPr>
              <w:adjustRightInd w:val="0"/>
              <w:snapToGrid w:val="0"/>
              <w:spacing w:line="300" w:lineRule="auto"/>
              <w:jc w:val="center"/>
              <w:rPr>
                <w:color w:val="auto"/>
                <w:szCs w:val="21"/>
              </w:rPr>
            </w:pPr>
            <w:r>
              <w:rPr>
                <w:color w:val="auto"/>
                <w:szCs w:val="21"/>
              </w:rPr>
              <w:t>1</w:t>
            </w:r>
          </w:p>
        </w:tc>
        <w:tc>
          <w:tcPr>
            <w:tcW w:w="1600" w:type="dxa"/>
            <w:vAlign w:val="center"/>
          </w:tcPr>
          <w:p>
            <w:pPr>
              <w:tabs>
                <w:tab w:val="left" w:pos="180"/>
                <w:tab w:val="left" w:pos="1620"/>
              </w:tabs>
              <w:spacing w:line="400" w:lineRule="exact"/>
              <w:rPr>
                <w:color w:val="auto"/>
                <w:szCs w:val="21"/>
              </w:rPr>
            </w:pPr>
          </w:p>
        </w:tc>
        <w:tc>
          <w:tcPr>
            <w:tcW w:w="2944" w:type="dxa"/>
            <w:vAlign w:val="center"/>
          </w:tcPr>
          <w:p>
            <w:pPr>
              <w:adjustRightInd w:val="0"/>
              <w:snapToGrid w:val="0"/>
              <w:spacing w:line="300" w:lineRule="auto"/>
              <w:jc w:val="left"/>
              <w:rPr>
                <w:color w:val="auto"/>
                <w:szCs w:val="21"/>
              </w:rPr>
            </w:pPr>
          </w:p>
        </w:tc>
        <w:tc>
          <w:tcPr>
            <w:tcW w:w="3087" w:type="dxa"/>
            <w:vAlign w:val="center"/>
          </w:tcPr>
          <w:p>
            <w:pPr>
              <w:adjustRightInd w:val="0"/>
              <w:snapToGrid w:val="0"/>
              <w:spacing w:line="300" w:lineRule="auto"/>
              <w:jc w:val="center"/>
              <w:rPr>
                <w:color w:val="auto"/>
                <w:szCs w:val="21"/>
              </w:rPr>
            </w:pPr>
          </w:p>
        </w:tc>
        <w:tc>
          <w:tcPr>
            <w:tcW w:w="914" w:type="dxa"/>
            <w:vAlign w:val="center"/>
          </w:tcPr>
          <w:p>
            <w:pPr>
              <w:adjustRightInd w:val="0"/>
              <w:snapToGrid w:val="0"/>
              <w:spacing w:line="300" w:lineRule="auto"/>
              <w:jc w:val="center"/>
              <w:rPr>
                <w:color w:val="auto"/>
                <w:szCs w:val="21"/>
              </w:rPr>
            </w:pPr>
            <w:r>
              <w:rPr>
                <w:color w:val="auto"/>
                <w:szCs w:val="21"/>
              </w:rPr>
              <w:t>响应</w:t>
            </w:r>
          </w:p>
        </w:tc>
        <w:tc>
          <w:tcPr>
            <w:tcW w:w="797" w:type="dxa"/>
            <w:vAlign w:val="center"/>
          </w:tcPr>
          <w:p>
            <w:pPr>
              <w:adjustRightInd w:val="0"/>
              <w:snapToGrid w:val="0"/>
              <w:spacing w:line="300" w:lineRule="auto"/>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vAlign w:val="center"/>
          </w:tcPr>
          <w:p>
            <w:pPr>
              <w:adjustRightInd w:val="0"/>
              <w:snapToGrid w:val="0"/>
              <w:spacing w:line="300" w:lineRule="auto"/>
              <w:jc w:val="center"/>
              <w:rPr>
                <w:color w:val="auto"/>
                <w:szCs w:val="21"/>
              </w:rPr>
            </w:pPr>
          </w:p>
        </w:tc>
        <w:tc>
          <w:tcPr>
            <w:tcW w:w="1600" w:type="dxa"/>
            <w:vAlign w:val="center"/>
          </w:tcPr>
          <w:p>
            <w:pPr>
              <w:spacing w:line="400" w:lineRule="exact"/>
              <w:rPr>
                <w:color w:val="auto"/>
                <w:szCs w:val="21"/>
              </w:rPr>
            </w:pPr>
          </w:p>
        </w:tc>
        <w:tc>
          <w:tcPr>
            <w:tcW w:w="2944" w:type="dxa"/>
            <w:vAlign w:val="center"/>
          </w:tcPr>
          <w:p>
            <w:pPr>
              <w:adjustRightInd w:val="0"/>
              <w:snapToGrid w:val="0"/>
              <w:spacing w:line="300" w:lineRule="auto"/>
              <w:jc w:val="left"/>
              <w:rPr>
                <w:color w:val="auto"/>
                <w:szCs w:val="21"/>
              </w:rPr>
            </w:pPr>
          </w:p>
        </w:tc>
        <w:tc>
          <w:tcPr>
            <w:tcW w:w="3087" w:type="dxa"/>
            <w:vAlign w:val="center"/>
          </w:tcPr>
          <w:p>
            <w:pPr>
              <w:adjustRightInd w:val="0"/>
              <w:snapToGrid w:val="0"/>
              <w:spacing w:line="300" w:lineRule="auto"/>
              <w:jc w:val="center"/>
              <w:rPr>
                <w:color w:val="auto"/>
                <w:szCs w:val="21"/>
              </w:rPr>
            </w:pPr>
          </w:p>
        </w:tc>
        <w:tc>
          <w:tcPr>
            <w:tcW w:w="914" w:type="dxa"/>
            <w:vAlign w:val="center"/>
          </w:tcPr>
          <w:p>
            <w:pPr>
              <w:adjustRightInd w:val="0"/>
              <w:snapToGrid w:val="0"/>
              <w:spacing w:line="300" w:lineRule="auto"/>
              <w:jc w:val="center"/>
              <w:rPr>
                <w:color w:val="auto"/>
                <w:szCs w:val="21"/>
              </w:rPr>
            </w:pPr>
          </w:p>
        </w:tc>
        <w:tc>
          <w:tcPr>
            <w:tcW w:w="797" w:type="dxa"/>
            <w:vAlign w:val="center"/>
          </w:tcPr>
          <w:p>
            <w:pPr>
              <w:adjustRightInd w:val="0"/>
              <w:snapToGrid w:val="0"/>
              <w:spacing w:line="300" w:lineRule="auto"/>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vAlign w:val="center"/>
          </w:tcPr>
          <w:p>
            <w:pPr>
              <w:adjustRightInd w:val="0"/>
              <w:snapToGrid w:val="0"/>
              <w:spacing w:line="300" w:lineRule="auto"/>
              <w:jc w:val="center"/>
              <w:rPr>
                <w:color w:val="auto"/>
                <w:szCs w:val="21"/>
              </w:rPr>
            </w:pPr>
          </w:p>
        </w:tc>
        <w:tc>
          <w:tcPr>
            <w:tcW w:w="1600" w:type="dxa"/>
            <w:vAlign w:val="center"/>
          </w:tcPr>
          <w:p>
            <w:pPr>
              <w:spacing w:line="400" w:lineRule="exact"/>
              <w:rPr>
                <w:color w:val="auto"/>
                <w:szCs w:val="21"/>
              </w:rPr>
            </w:pPr>
          </w:p>
        </w:tc>
        <w:tc>
          <w:tcPr>
            <w:tcW w:w="2944" w:type="dxa"/>
            <w:vAlign w:val="center"/>
          </w:tcPr>
          <w:p>
            <w:pPr>
              <w:adjustRightInd w:val="0"/>
              <w:snapToGrid w:val="0"/>
              <w:spacing w:line="300" w:lineRule="auto"/>
              <w:jc w:val="left"/>
              <w:rPr>
                <w:color w:val="auto"/>
                <w:szCs w:val="21"/>
              </w:rPr>
            </w:pPr>
          </w:p>
        </w:tc>
        <w:tc>
          <w:tcPr>
            <w:tcW w:w="3087" w:type="dxa"/>
            <w:vAlign w:val="center"/>
          </w:tcPr>
          <w:p>
            <w:pPr>
              <w:adjustRightInd w:val="0"/>
              <w:snapToGrid w:val="0"/>
              <w:spacing w:line="300" w:lineRule="auto"/>
              <w:jc w:val="center"/>
              <w:rPr>
                <w:color w:val="auto"/>
                <w:szCs w:val="21"/>
              </w:rPr>
            </w:pPr>
          </w:p>
        </w:tc>
        <w:tc>
          <w:tcPr>
            <w:tcW w:w="914" w:type="dxa"/>
            <w:vAlign w:val="center"/>
          </w:tcPr>
          <w:p>
            <w:pPr>
              <w:adjustRightInd w:val="0"/>
              <w:snapToGrid w:val="0"/>
              <w:spacing w:line="300" w:lineRule="auto"/>
              <w:jc w:val="center"/>
              <w:rPr>
                <w:color w:val="auto"/>
                <w:szCs w:val="21"/>
              </w:rPr>
            </w:pPr>
          </w:p>
        </w:tc>
        <w:tc>
          <w:tcPr>
            <w:tcW w:w="797" w:type="dxa"/>
            <w:vAlign w:val="center"/>
          </w:tcPr>
          <w:p>
            <w:pPr>
              <w:adjustRightInd w:val="0"/>
              <w:snapToGrid w:val="0"/>
              <w:spacing w:line="300" w:lineRule="auto"/>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vAlign w:val="center"/>
          </w:tcPr>
          <w:p>
            <w:pPr>
              <w:adjustRightInd w:val="0"/>
              <w:snapToGrid w:val="0"/>
              <w:spacing w:line="300" w:lineRule="auto"/>
              <w:jc w:val="center"/>
              <w:rPr>
                <w:color w:val="auto"/>
                <w:szCs w:val="21"/>
              </w:rPr>
            </w:pPr>
          </w:p>
        </w:tc>
        <w:tc>
          <w:tcPr>
            <w:tcW w:w="1600" w:type="dxa"/>
            <w:vAlign w:val="center"/>
          </w:tcPr>
          <w:p>
            <w:pPr>
              <w:adjustRightInd w:val="0"/>
              <w:snapToGrid w:val="0"/>
              <w:spacing w:line="300" w:lineRule="auto"/>
              <w:rPr>
                <w:color w:val="auto"/>
              </w:rPr>
            </w:pPr>
          </w:p>
        </w:tc>
        <w:tc>
          <w:tcPr>
            <w:tcW w:w="2944" w:type="dxa"/>
            <w:vAlign w:val="center"/>
          </w:tcPr>
          <w:p>
            <w:pPr>
              <w:adjustRightInd w:val="0"/>
              <w:snapToGrid w:val="0"/>
              <w:spacing w:line="300" w:lineRule="auto"/>
              <w:jc w:val="left"/>
              <w:rPr>
                <w:color w:val="auto"/>
              </w:rPr>
            </w:pPr>
          </w:p>
        </w:tc>
        <w:tc>
          <w:tcPr>
            <w:tcW w:w="3087" w:type="dxa"/>
            <w:vAlign w:val="center"/>
          </w:tcPr>
          <w:p>
            <w:pPr>
              <w:adjustRightInd w:val="0"/>
              <w:snapToGrid w:val="0"/>
              <w:spacing w:line="300" w:lineRule="auto"/>
              <w:jc w:val="center"/>
              <w:rPr>
                <w:color w:val="auto"/>
                <w:szCs w:val="21"/>
              </w:rPr>
            </w:pPr>
          </w:p>
        </w:tc>
        <w:tc>
          <w:tcPr>
            <w:tcW w:w="914" w:type="dxa"/>
            <w:vAlign w:val="center"/>
          </w:tcPr>
          <w:p>
            <w:pPr>
              <w:adjustRightInd w:val="0"/>
              <w:snapToGrid w:val="0"/>
              <w:spacing w:line="300" w:lineRule="auto"/>
              <w:jc w:val="center"/>
              <w:rPr>
                <w:color w:val="auto"/>
                <w:szCs w:val="21"/>
              </w:rPr>
            </w:pPr>
          </w:p>
        </w:tc>
        <w:tc>
          <w:tcPr>
            <w:tcW w:w="797" w:type="dxa"/>
            <w:vAlign w:val="center"/>
          </w:tcPr>
          <w:p>
            <w:pPr>
              <w:adjustRightInd w:val="0"/>
              <w:snapToGrid w:val="0"/>
              <w:spacing w:line="300" w:lineRule="auto"/>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35" w:type="dxa"/>
            <w:vAlign w:val="center"/>
          </w:tcPr>
          <w:p>
            <w:pPr>
              <w:adjustRightInd w:val="0"/>
              <w:snapToGrid w:val="0"/>
              <w:spacing w:line="300" w:lineRule="auto"/>
              <w:jc w:val="center"/>
              <w:rPr>
                <w:color w:val="auto"/>
                <w:szCs w:val="21"/>
              </w:rPr>
            </w:pPr>
            <w:r>
              <w:rPr>
                <w:color w:val="auto"/>
                <w:szCs w:val="21"/>
              </w:rPr>
              <w:t>…</w:t>
            </w:r>
          </w:p>
        </w:tc>
        <w:tc>
          <w:tcPr>
            <w:tcW w:w="1600" w:type="dxa"/>
            <w:vAlign w:val="center"/>
          </w:tcPr>
          <w:p>
            <w:pPr>
              <w:adjustRightInd w:val="0"/>
              <w:snapToGrid w:val="0"/>
              <w:spacing w:line="300" w:lineRule="auto"/>
              <w:jc w:val="center"/>
              <w:rPr>
                <w:color w:val="auto"/>
              </w:rPr>
            </w:pPr>
            <w:r>
              <w:rPr>
                <w:color w:val="auto"/>
              </w:rPr>
              <w:t>…</w:t>
            </w:r>
          </w:p>
        </w:tc>
        <w:tc>
          <w:tcPr>
            <w:tcW w:w="2944" w:type="dxa"/>
            <w:vAlign w:val="center"/>
          </w:tcPr>
          <w:p>
            <w:pPr>
              <w:adjustRightInd w:val="0"/>
              <w:snapToGrid w:val="0"/>
              <w:spacing w:line="300" w:lineRule="auto"/>
              <w:jc w:val="center"/>
              <w:rPr>
                <w:color w:val="auto"/>
                <w:szCs w:val="21"/>
              </w:rPr>
            </w:pPr>
            <w:r>
              <w:rPr>
                <w:color w:val="auto"/>
                <w:szCs w:val="21"/>
              </w:rPr>
              <w:t>…</w:t>
            </w:r>
          </w:p>
        </w:tc>
        <w:tc>
          <w:tcPr>
            <w:tcW w:w="3087" w:type="dxa"/>
            <w:vAlign w:val="center"/>
          </w:tcPr>
          <w:p>
            <w:pPr>
              <w:adjustRightInd w:val="0"/>
              <w:snapToGrid w:val="0"/>
              <w:spacing w:line="300" w:lineRule="auto"/>
              <w:jc w:val="center"/>
              <w:rPr>
                <w:color w:val="auto"/>
              </w:rPr>
            </w:pPr>
            <w:r>
              <w:rPr>
                <w:color w:val="auto"/>
              </w:rPr>
              <w:t>…</w:t>
            </w:r>
          </w:p>
        </w:tc>
        <w:tc>
          <w:tcPr>
            <w:tcW w:w="914" w:type="dxa"/>
            <w:vAlign w:val="center"/>
          </w:tcPr>
          <w:p>
            <w:pPr>
              <w:adjustRightInd w:val="0"/>
              <w:snapToGrid w:val="0"/>
              <w:spacing w:line="300" w:lineRule="auto"/>
              <w:jc w:val="center"/>
              <w:rPr>
                <w:color w:val="auto"/>
                <w:szCs w:val="21"/>
              </w:rPr>
            </w:pPr>
            <w:r>
              <w:rPr>
                <w:color w:val="auto"/>
                <w:szCs w:val="21"/>
              </w:rPr>
              <w:t>…</w:t>
            </w:r>
          </w:p>
        </w:tc>
        <w:tc>
          <w:tcPr>
            <w:tcW w:w="797" w:type="dxa"/>
            <w:vAlign w:val="center"/>
          </w:tcPr>
          <w:p>
            <w:pPr>
              <w:adjustRightInd w:val="0"/>
              <w:snapToGrid w:val="0"/>
              <w:spacing w:line="300" w:lineRule="auto"/>
              <w:jc w:val="center"/>
              <w:rPr>
                <w:color w:val="auto"/>
              </w:rPr>
            </w:pPr>
            <w:r>
              <w:rPr>
                <w:color w:val="auto"/>
              </w:rPr>
              <w:t>…</w:t>
            </w:r>
          </w:p>
        </w:tc>
      </w:tr>
    </w:tbl>
    <w:p>
      <w:pPr>
        <w:pStyle w:val="21"/>
        <w:adjustRightInd w:val="0"/>
        <w:snapToGrid w:val="0"/>
        <w:spacing w:line="240" w:lineRule="exact"/>
        <w:ind w:firstLine="420"/>
        <w:rPr>
          <w:rFonts w:ascii="Times New Roman" w:hAnsi="Times New Roman"/>
          <w:color w:val="auto"/>
          <w:sz w:val="21"/>
          <w:szCs w:val="21"/>
        </w:rPr>
      </w:pPr>
    </w:p>
    <w:p>
      <w:pPr>
        <w:pStyle w:val="21"/>
        <w:adjustRightInd w:val="0"/>
        <w:snapToGrid w:val="0"/>
        <w:spacing w:line="240" w:lineRule="exact"/>
        <w:ind w:firstLine="420"/>
        <w:rPr>
          <w:rFonts w:ascii="Times New Roman" w:hAnsi="Times New Roman"/>
          <w:color w:val="auto"/>
          <w:sz w:val="21"/>
          <w:szCs w:val="21"/>
        </w:rPr>
      </w:pPr>
    </w:p>
    <w:p>
      <w:pPr>
        <w:pStyle w:val="21"/>
        <w:adjustRightInd w:val="0"/>
        <w:snapToGrid w:val="0"/>
        <w:spacing w:line="240" w:lineRule="exact"/>
        <w:ind w:firstLine="420"/>
        <w:rPr>
          <w:rFonts w:ascii="Times New Roman" w:hAnsi="Times New Roman"/>
          <w:color w:val="auto"/>
          <w:sz w:val="21"/>
          <w:szCs w:val="21"/>
        </w:rPr>
      </w:pPr>
    </w:p>
    <w:p>
      <w:pPr>
        <w:pStyle w:val="21"/>
        <w:adjustRightInd w:val="0"/>
        <w:snapToGrid w:val="0"/>
        <w:spacing w:line="240" w:lineRule="exact"/>
        <w:ind w:firstLine="0" w:firstLineChars="0"/>
        <w:rPr>
          <w:rFonts w:ascii="Times New Roman" w:hAnsi="Times New Roman"/>
          <w:color w:val="auto"/>
          <w:sz w:val="21"/>
          <w:szCs w:val="21"/>
        </w:rPr>
      </w:pPr>
    </w:p>
    <w:p>
      <w:pPr>
        <w:pStyle w:val="21"/>
        <w:adjustRightInd w:val="0"/>
        <w:snapToGrid w:val="0"/>
        <w:spacing w:line="240" w:lineRule="exact"/>
        <w:ind w:firstLine="420"/>
        <w:rPr>
          <w:rFonts w:ascii="Times New Roman" w:hAnsi="Times New Roman"/>
          <w:color w:val="auto"/>
          <w:sz w:val="21"/>
          <w:szCs w:val="21"/>
        </w:rPr>
      </w:pPr>
    </w:p>
    <w:p>
      <w:pPr>
        <w:pStyle w:val="21"/>
        <w:adjustRightInd w:val="0"/>
        <w:snapToGrid w:val="0"/>
        <w:spacing w:line="240" w:lineRule="exact"/>
        <w:ind w:firstLine="420"/>
        <w:rPr>
          <w:rFonts w:ascii="Times New Roman" w:hAnsi="Times New Roman"/>
          <w:color w:val="auto"/>
          <w:sz w:val="21"/>
          <w:szCs w:val="21"/>
        </w:rPr>
      </w:pPr>
    </w:p>
    <w:p>
      <w:pPr>
        <w:pStyle w:val="21"/>
        <w:adjustRightInd w:val="0"/>
        <w:snapToGrid w:val="0"/>
        <w:spacing w:line="240" w:lineRule="exact"/>
        <w:ind w:firstLine="420"/>
        <w:rPr>
          <w:rFonts w:ascii="Times New Roman" w:hAnsi="Times New Roman"/>
          <w:color w:val="auto"/>
          <w:sz w:val="21"/>
          <w:szCs w:val="21"/>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34"/>
        <w:gridCol w:w="1134"/>
        <w:gridCol w:w="3260"/>
        <w:gridCol w:w="3260"/>
        <w:gridCol w:w="840"/>
        <w:gridCol w:w="72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750" w:type="dxa"/>
            <w:gridSpan w:val="6"/>
            <w:vAlign w:val="center"/>
          </w:tcPr>
          <w:p>
            <w:pPr>
              <w:adjustRightInd w:val="0"/>
              <w:snapToGrid w:val="0"/>
              <w:spacing w:line="300" w:lineRule="exact"/>
              <w:ind w:left="0" w:leftChars="-118" w:hanging="248" w:hangingChars="118"/>
              <w:jc w:val="center"/>
              <w:rPr>
                <w:b/>
                <w:color w:val="auto"/>
                <w:szCs w:val="21"/>
              </w:rPr>
            </w:pPr>
            <w:r>
              <w:rPr>
                <w:b/>
                <w:color w:val="auto"/>
                <w:szCs w:val="21"/>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34" w:type="dxa"/>
            <w:vAlign w:val="center"/>
          </w:tcPr>
          <w:p>
            <w:pPr>
              <w:adjustRightInd w:val="0"/>
              <w:snapToGrid w:val="0"/>
              <w:spacing w:line="300" w:lineRule="exact"/>
              <w:jc w:val="center"/>
              <w:rPr>
                <w:color w:val="auto"/>
                <w:szCs w:val="21"/>
              </w:rPr>
            </w:pPr>
            <w:r>
              <w:rPr>
                <w:color w:val="auto"/>
                <w:szCs w:val="21"/>
              </w:rPr>
              <w:t>序号</w:t>
            </w:r>
          </w:p>
        </w:tc>
        <w:tc>
          <w:tcPr>
            <w:tcW w:w="1134" w:type="dxa"/>
            <w:vAlign w:val="center"/>
          </w:tcPr>
          <w:p>
            <w:pPr>
              <w:adjustRightInd w:val="0"/>
              <w:snapToGrid w:val="0"/>
              <w:spacing w:line="300" w:lineRule="exact"/>
              <w:jc w:val="center"/>
              <w:rPr>
                <w:color w:val="auto"/>
                <w:szCs w:val="21"/>
              </w:rPr>
            </w:pPr>
            <w:r>
              <w:rPr>
                <w:color w:val="auto"/>
                <w:szCs w:val="21"/>
              </w:rPr>
              <w:t>名称</w:t>
            </w:r>
          </w:p>
        </w:tc>
        <w:tc>
          <w:tcPr>
            <w:tcW w:w="3260" w:type="dxa"/>
            <w:vAlign w:val="center"/>
          </w:tcPr>
          <w:p>
            <w:pPr>
              <w:adjustRightInd w:val="0"/>
              <w:snapToGrid w:val="0"/>
              <w:spacing w:line="300" w:lineRule="exact"/>
              <w:jc w:val="center"/>
              <w:rPr>
                <w:color w:val="auto"/>
                <w:szCs w:val="21"/>
              </w:rPr>
            </w:pPr>
            <w:r>
              <w:rPr>
                <w:color w:val="auto"/>
                <w:szCs w:val="21"/>
              </w:rPr>
              <w:t>竞争性磋商文件要求</w:t>
            </w:r>
          </w:p>
          <w:p>
            <w:pPr>
              <w:adjustRightInd w:val="0"/>
              <w:snapToGrid w:val="0"/>
              <w:spacing w:line="300" w:lineRule="exact"/>
              <w:jc w:val="center"/>
              <w:rPr>
                <w:color w:val="auto"/>
                <w:szCs w:val="21"/>
              </w:rPr>
            </w:pPr>
            <w:r>
              <w:rPr>
                <w:color w:val="auto"/>
                <w:szCs w:val="21"/>
              </w:rPr>
              <w:t>（技术参数需求及服务要求）</w:t>
            </w:r>
          </w:p>
        </w:tc>
        <w:tc>
          <w:tcPr>
            <w:tcW w:w="3260" w:type="dxa"/>
            <w:vAlign w:val="center"/>
          </w:tcPr>
          <w:p>
            <w:pPr>
              <w:adjustRightInd w:val="0"/>
              <w:snapToGrid w:val="0"/>
              <w:spacing w:line="300" w:lineRule="exact"/>
              <w:jc w:val="center"/>
              <w:rPr>
                <w:color w:val="auto"/>
                <w:szCs w:val="21"/>
              </w:rPr>
            </w:pPr>
            <w:r>
              <w:rPr>
                <w:color w:val="auto"/>
                <w:szCs w:val="21"/>
              </w:rPr>
              <w:t>竞争性磋商响应文件的具体技术参数响应</w:t>
            </w:r>
          </w:p>
        </w:tc>
        <w:tc>
          <w:tcPr>
            <w:tcW w:w="840" w:type="dxa"/>
            <w:vAlign w:val="center"/>
          </w:tcPr>
          <w:p>
            <w:pPr>
              <w:adjustRightInd w:val="0"/>
              <w:snapToGrid w:val="0"/>
              <w:spacing w:line="300" w:lineRule="exact"/>
              <w:jc w:val="center"/>
              <w:rPr>
                <w:color w:val="auto"/>
                <w:szCs w:val="21"/>
              </w:rPr>
            </w:pPr>
            <w:r>
              <w:rPr>
                <w:color w:val="auto"/>
                <w:szCs w:val="21"/>
              </w:rPr>
              <w:t>响应/偏离</w:t>
            </w:r>
          </w:p>
        </w:tc>
        <w:tc>
          <w:tcPr>
            <w:tcW w:w="722" w:type="dxa"/>
            <w:vAlign w:val="center"/>
          </w:tcPr>
          <w:p>
            <w:pPr>
              <w:adjustRightInd w:val="0"/>
              <w:snapToGrid w:val="0"/>
              <w:spacing w:line="300" w:lineRule="exact"/>
              <w:ind w:leftChars="-118" w:hanging="247" w:hangingChars="118"/>
              <w:jc w:val="center"/>
              <w:rPr>
                <w:color w:val="auto"/>
                <w:szCs w:val="21"/>
              </w:rPr>
            </w:pPr>
            <w:r>
              <w:rPr>
                <w:color w:val="auto"/>
                <w:szCs w:val="21"/>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34" w:type="dxa"/>
            <w:vAlign w:val="center"/>
          </w:tcPr>
          <w:p>
            <w:pPr>
              <w:adjustRightInd w:val="0"/>
              <w:snapToGrid w:val="0"/>
              <w:spacing w:before="159" w:beforeLines="50" w:after="159" w:afterLines="50" w:line="300" w:lineRule="exact"/>
              <w:jc w:val="center"/>
              <w:rPr>
                <w:color w:val="auto"/>
                <w:szCs w:val="21"/>
              </w:rPr>
            </w:pPr>
            <w:r>
              <w:rPr>
                <w:color w:val="auto"/>
                <w:szCs w:val="21"/>
              </w:rPr>
              <w:t>1</w:t>
            </w:r>
          </w:p>
        </w:tc>
        <w:tc>
          <w:tcPr>
            <w:tcW w:w="1134" w:type="dxa"/>
            <w:vAlign w:val="center"/>
          </w:tcPr>
          <w:p>
            <w:pPr>
              <w:adjustRightInd w:val="0"/>
              <w:snapToGrid w:val="0"/>
              <w:spacing w:line="300" w:lineRule="exact"/>
              <w:jc w:val="left"/>
              <w:rPr>
                <w:color w:val="auto"/>
                <w:szCs w:val="21"/>
              </w:rPr>
            </w:pPr>
          </w:p>
        </w:tc>
        <w:tc>
          <w:tcPr>
            <w:tcW w:w="3260" w:type="dxa"/>
            <w:vAlign w:val="center"/>
          </w:tcPr>
          <w:p>
            <w:pPr>
              <w:adjustRightInd w:val="0"/>
              <w:snapToGrid w:val="0"/>
              <w:spacing w:line="300" w:lineRule="exact"/>
              <w:jc w:val="left"/>
              <w:rPr>
                <w:color w:val="auto"/>
                <w:szCs w:val="21"/>
              </w:rPr>
            </w:pPr>
          </w:p>
        </w:tc>
        <w:tc>
          <w:tcPr>
            <w:tcW w:w="3260" w:type="dxa"/>
            <w:vAlign w:val="center"/>
          </w:tcPr>
          <w:p>
            <w:pPr>
              <w:adjustRightInd w:val="0"/>
              <w:snapToGrid w:val="0"/>
              <w:spacing w:line="300" w:lineRule="exact"/>
              <w:jc w:val="left"/>
              <w:rPr>
                <w:color w:val="auto"/>
                <w:szCs w:val="21"/>
              </w:rPr>
            </w:pPr>
          </w:p>
        </w:tc>
        <w:tc>
          <w:tcPr>
            <w:tcW w:w="840" w:type="dxa"/>
            <w:vAlign w:val="center"/>
          </w:tcPr>
          <w:p>
            <w:pPr>
              <w:adjustRightInd w:val="0"/>
              <w:snapToGrid w:val="0"/>
              <w:spacing w:line="300" w:lineRule="exact"/>
              <w:jc w:val="center"/>
              <w:rPr>
                <w:color w:val="auto"/>
                <w:szCs w:val="21"/>
              </w:rPr>
            </w:pPr>
            <w:r>
              <w:rPr>
                <w:color w:val="auto"/>
                <w:szCs w:val="21"/>
              </w:rPr>
              <w:t>无偏离</w:t>
            </w:r>
          </w:p>
        </w:tc>
        <w:tc>
          <w:tcPr>
            <w:tcW w:w="722" w:type="dxa"/>
            <w:vAlign w:val="center"/>
          </w:tcPr>
          <w:p>
            <w:pPr>
              <w:adjustRightInd w:val="0"/>
              <w:snapToGrid w:val="0"/>
              <w:spacing w:line="300" w:lineRule="exact"/>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34" w:type="dxa"/>
            <w:vAlign w:val="center"/>
          </w:tcPr>
          <w:p>
            <w:pPr>
              <w:adjustRightInd w:val="0"/>
              <w:snapToGrid w:val="0"/>
              <w:spacing w:before="159" w:beforeLines="50" w:after="159" w:afterLines="50" w:line="300" w:lineRule="exact"/>
              <w:jc w:val="center"/>
              <w:rPr>
                <w:color w:val="auto"/>
                <w:szCs w:val="21"/>
              </w:rPr>
            </w:pPr>
          </w:p>
        </w:tc>
        <w:tc>
          <w:tcPr>
            <w:tcW w:w="1134" w:type="dxa"/>
            <w:vAlign w:val="center"/>
          </w:tcPr>
          <w:p>
            <w:pPr>
              <w:adjustRightInd w:val="0"/>
              <w:snapToGrid w:val="0"/>
              <w:spacing w:line="300" w:lineRule="exact"/>
              <w:jc w:val="left"/>
              <w:rPr>
                <w:color w:val="auto"/>
                <w:szCs w:val="21"/>
              </w:rPr>
            </w:pPr>
          </w:p>
        </w:tc>
        <w:tc>
          <w:tcPr>
            <w:tcW w:w="3260" w:type="dxa"/>
            <w:vAlign w:val="center"/>
          </w:tcPr>
          <w:p>
            <w:pPr>
              <w:adjustRightInd w:val="0"/>
              <w:snapToGrid w:val="0"/>
              <w:spacing w:line="300" w:lineRule="exact"/>
              <w:jc w:val="left"/>
              <w:outlineLvl w:val="0"/>
              <w:rPr>
                <w:color w:val="auto"/>
                <w:szCs w:val="21"/>
              </w:rPr>
            </w:pPr>
          </w:p>
        </w:tc>
        <w:tc>
          <w:tcPr>
            <w:tcW w:w="3260" w:type="dxa"/>
            <w:vAlign w:val="center"/>
          </w:tcPr>
          <w:p>
            <w:pPr>
              <w:adjustRightInd w:val="0"/>
              <w:snapToGrid w:val="0"/>
              <w:spacing w:line="300" w:lineRule="exact"/>
              <w:jc w:val="left"/>
              <w:outlineLvl w:val="0"/>
              <w:rPr>
                <w:color w:val="auto"/>
                <w:szCs w:val="21"/>
              </w:rPr>
            </w:pPr>
          </w:p>
        </w:tc>
        <w:tc>
          <w:tcPr>
            <w:tcW w:w="840" w:type="dxa"/>
            <w:vAlign w:val="center"/>
          </w:tcPr>
          <w:p>
            <w:pPr>
              <w:adjustRightInd w:val="0"/>
              <w:snapToGrid w:val="0"/>
              <w:spacing w:line="300" w:lineRule="exact"/>
              <w:jc w:val="center"/>
              <w:outlineLvl w:val="0"/>
              <w:rPr>
                <w:color w:val="auto"/>
                <w:szCs w:val="21"/>
              </w:rPr>
            </w:pPr>
          </w:p>
        </w:tc>
        <w:tc>
          <w:tcPr>
            <w:tcW w:w="722" w:type="dxa"/>
            <w:vAlign w:val="center"/>
          </w:tcPr>
          <w:p>
            <w:pPr>
              <w:adjustRightInd w:val="0"/>
              <w:snapToGrid w:val="0"/>
              <w:spacing w:line="300" w:lineRule="exact"/>
              <w:jc w:val="center"/>
              <w:outlineLvl w:val="0"/>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34" w:type="dxa"/>
            <w:vAlign w:val="center"/>
          </w:tcPr>
          <w:p>
            <w:pPr>
              <w:adjustRightInd w:val="0"/>
              <w:snapToGrid w:val="0"/>
              <w:spacing w:line="300" w:lineRule="exact"/>
              <w:jc w:val="center"/>
              <w:rPr>
                <w:color w:val="auto"/>
                <w:szCs w:val="21"/>
              </w:rPr>
            </w:pPr>
            <w:r>
              <w:rPr>
                <w:color w:val="auto"/>
                <w:szCs w:val="21"/>
              </w:rPr>
              <w:t>…</w:t>
            </w:r>
          </w:p>
        </w:tc>
        <w:tc>
          <w:tcPr>
            <w:tcW w:w="1134" w:type="dxa"/>
            <w:vAlign w:val="center"/>
          </w:tcPr>
          <w:p>
            <w:pPr>
              <w:adjustRightInd w:val="0"/>
              <w:snapToGrid w:val="0"/>
              <w:spacing w:line="300" w:lineRule="exact"/>
              <w:jc w:val="center"/>
              <w:rPr>
                <w:color w:val="auto"/>
                <w:szCs w:val="21"/>
              </w:rPr>
            </w:pPr>
            <w:r>
              <w:rPr>
                <w:color w:val="auto"/>
                <w:szCs w:val="21"/>
              </w:rPr>
              <w:t>…</w:t>
            </w:r>
          </w:p>
        </w:tc>
        <w:tc>
          <w:tcPr>
            <w:tcW w:w="3260" w:type="dxa"/>
            <w:vAlign w:val="center"/>
          </w:tcPr>
          <w:p>
            <w:pPr>
              <w:adjustRightInd w:val="0"/>
              <w:snapToGrid w:val="0"/>
              <w:spacing w:line="300" w:lineRule="exact"/>
              <w:jc w:val="center"/>
              <w:rPr>
                <w:color w:val="auto"/>
                <w:szCs w:val="21"/>
              </w:rPr>
            </w:pPr>
            <w:r>
              <w:rPr>
                <w:color w:val="auto"/>
                <w:szCs w:val="21"/>
              </w:rPr>
              <w:t>…</w:t>
            </w:r>
          </w:p>
        </w:tc>
        <w:tc>
          <w:tcPr>
            <w:tcW w:w="3260" w:type="dxa"/>
            <w:vAlign w:val="center"/>
          </w:tcPr>
          <w:p>
            <w:pPr>
              <w:adjustRightInd w:val="0"/>
              <w:snapToGrid w:val="0"/>
              <w:spacing w:line="300" w:lineRule="exact"/>
              <w:jc w:val="center"/>
              <w:rPr>
                <w:color w:val="auto"/>
                <w:szCs w:val="21"/>
              </w:rPr>
            </w:pPr>
            <w:r>
              <w:rPr>
                <w:color w:val="auto"/>
                <w:szCs w:val="21"/>
              </w:rPr>
              <w:t>…</w:t>
            </w:r>
          </w:p>
        </w:tc>
        <w:tc>
          <w:tcPr>
            <w:tcW w:w="840" w:type="dxa"/>
            <w:vAlign w:val="center"/>
          </w:tcPr>
          <w:p>
            <w:pPr>
              <w:adjustRightInd w:val="0"/>
              <w:snapToGrid w:val="0"/>
              <w:spacing w:line="300" w:lineRule="exact"/>
              <w:jc w:val="center"/>
              <w:rPr>
                <w:color w:val="auto"/>
                <w:szCs w:val="21"/>
              </w:rPr>
            </w:pPr>
            <w:r>
              <w:rPr>
                <w:color w:val="auto"/>
                <w:szCs w:val="21"/>
              </w:rPr>
              <w:t>…</w:t>
            </w:r>
          </w:p>
        </w:tc>
        <w:tc>
          <w:tcPr>
            <w:tcW w:w="722" w:type="dxa"/>
            <w:vAlign w:val="center"/>
          </w:tcPr>
          <w:p>
            <w:pPr>
              <w:adjustRightInd w:val="0"/>
              <w:snapToGrid w:val="0"/>
              <w:spacing w:line="300" w:lineRule="exact"/>
              <w:jc w:val="center"/>
              <w:rPr>
                <w:color w:val="auto"/>
                <w:szCs w:val="21"/>
              </w:rPr>
            </w:pPr>
            <w:r>
              <w:rPr>
                <w:color w:val="auto"/>
                <w:szCs w:val="21"/>
              </w:rPr>
              <w:t>…</w:t>
            </w:r>
          </w:p>
        </w:tc>
      </w:tr>
    </w:tbl>
    <w:p>
      <w:pPr>
        <w:adjustRightInd w:val="0"/>
        <w:snapToGrid w:val="0"/>
        <w:spacing w:before="160" w:line="240" w:lineRule="exact"/>
        <w:ind w:firstLine="105" w:firstLineChars="50"/>
        <w:rPr>
          <w:color w:val="auto"/>
          <w:szCs w:val="21"/>
        </w:rPr>
      </w:pPr>
      <w:r>
        <w:rPr>
          <w:color w:val="auto"/>
          <w:szCs w:val="21"/>
        </w:rPr>
        <w:t>说明：</w:t>
      </w:r>
      <w:r>
        <w:rPr>
          <w:color w:val="auto"/>
        </w:rPr>
        <w:t>1.应写明竞争性磋商响应文件对商务与技术要求的响应和偏离情况；</w:t>
      </w:r>
    </w:p>
    <w:p>
      <w:pPr>
        <w:pStyle w:val="8"/>
        <w:spacing w:line="240" w:lineRule="exact"/>
        <w:ind w:firstLine="630" w:firstLineChars="300"/>
        <w:rPr>
          <w:rFonts w:ascii="Times New Roman" w:eastAsia="宋体"/>
          <w:color w:val="auto"/>
          <w:sz w:val="21"/>
          <w:szCs w:val="21"/>
        </w:rPr>
      </w:pPr>
      <w:r>
        <w:rPr>
          <w:rFonts w:ascii="Times New Roman" w:eastAsia="宋体"/>
          <w:color w:val="auto"/>
          <w:sz w:val="21"/>
          <w:szCs w:val="21"/>
        </w:rPr>
        <w:t xml:space="preserve"> 2.应对照竞争性磋商文件“第三章  采购项目需求”，逐条说明所提供货物和服务已对竞争性磋商文件的技术规格做出了实质性的响应，并申明与技术规格条文的响应和偏离。</w:t>
      </w:r>
    </w:p>
    <w:p>
      <w:pPr>
        <w:pStyle w:val="9"/>
        <w:spacing w:line="300" w:lineRule="auto"/>
        <w:rPr>
          <w:rFonts w:ascii="Times New Roman" w:hAnsi="Times New Roman" w:cs="Times New Roman"/>
          <w:color w:val="auto"/>
        </w:rPr>
      </w:pPr>
    </w:p>
    <w:p>
      <w:pPr>
        <w:pStyle w:val="9"/>
        <w:spacing w:line="300" w:lineRule="auto"/>
        <w:ind w:firstLine="1470" w:firstLineChars="700"/>
        <w:jc w:val="right"/>
        <w:rPr>
          <w:rFonts w:ascii="Times New Roman" w:hAnsi="Times New Roman" w:cs="Times New Roman"/>
          <w:color w:val="auto"/>
        </w:rPr>
      </w:pPr>
      <w:r>
        <w:rPr>
          <w:rFonts w:ascii="Times New Roman" w:hAnsi="Times New Roman" w:cs="Times New Roman"/>
          <w:color w:val="auto"/>
        </w:rPr>
        <w:t>法定代表人或法定代表人授权代表签字:</w:t>
      </w:r>
      <w:r>
        <w:rPr>
          <w:rFonts w:ascii="Times New Roman" w:hAnsi="Times New Roman" w:cs="Times New Roman"/>
          <w:color w:val="auto"/>
          <w:u w:val="single"/>
        </w:rPr>
        <w:t xml:space="preserve">                </w:t>
      </w:r>
      <w:r>
        <w:rPr>
          <w:rFonts w:ascii="Times New Roman" w:hAnsi="Times New Roman" w:cs="Times New Roman"/>
          <w:color w:val="auto"/>
        </w:rPr>
        <w:t xml:space="preserve">  </w:t>
      </w:r>
    </w:p>
    <w:p>
      <w:pPr>
        <w:pStyle w:val="9"/>
        <w:spacing w:line="300" w:lineRule="auto"/>
        <w:ind w:firstLine="4935" w:firstLineChars="2350"/>
        <w:jc w:val="right"/>
        <w:rPr>
          <w:rFonts w:ascii="Times New Roman" w:hAnsi="Times New Roman" w:cs="Times New Roman"/>
          <w:color w:val="auto"/>
          <w:u w:val="single"/>
        </w:rPr>
      </w:pPr>
      <w:r>
        <w:rPr>
          <w:rFonts w:ascii="Times New Roman" w:hAnsi="Times New Roman" w:cs="Times New Roman"/>
          <w:color w:val="auto"/>
          <w:u w:val="single"/>
        </w:rPr>
        <w:t xml:space="preserve">      </w:t>
      </w:r>
      <w:r>
        <w:rPr>
          <w:rFonts w:ascii="Times New Roman" w:hAnsi="Times New Roman" w:cs="Times New Roman"/>
          <w:color w:val="auto"/>
        </w:rPr>
        <w:t>年</w:t>
      </w:r>
      <w:r>
        <w:rPr>
          <w:rFonts w:ascii="Times New Roman" w:hAnsi="Times New Roman" w:cs="Times New Roman"/>
          <w:color w:val="auto"/>
          <w:u w:val="single"/>
        </w:rPr>
        <w:t xml:space="preserve">   </w:t>
      </w:r>
      <w:r>
        <w:rPr>
          <w:rFonts w:ascii="Times New Roman" w:hAnsi="Times New Roman" w:cs="Times New Roman"/>
          <w:color w:val="auto"/>
        </w:rPr>
        <w:t>月</w:t>
      </w:r>
      <w:r>
        <w:rPr>
          <w:rFonts w:ascii="Times New Roman" w:hAnsi="Times New Roman" w:cs="Times New Roman"/>
          <w:color w:val="auto"/>
          <w:u w:val="single"/>
        </w:rPr>
        <w:t xml:space="preserve">   </w:t>
      </w:r>
      <w:r>
        <w:rPr>
          <w:rFonts w:ascii="Times New Roman" w:hAnsi="Times New Roman" w:cs="Times New Roman"/>
          <w:color w:val="auto"/>
        </w:rPr>
        <w:t>日</w:t>
      </w:r>
    </w:p>
    <w:p>
      <w:pPr>
        <w:rPr>
          <w:color w:val="auto"/>
          <w:szCs w:val="21"/>
        </w:rPr>
      </w:pPr>
      <w:r>
        <w:rPr>
          <w:color w:val="auto"/>
          <w:szCs w:val="21"/>
        </w:rPr>
        <w:br w:type="page"/>
      </w:r>
    </w:p>
    <w:p>
      <w:pPr>
        <w:spacing w:line="300" w:lineRule="auto"/>
        <w:rPr>
          <w:color w:val="auto"/>
          <w:szCs w:val="21"/>
        </w:rPr>
      </w:pPr>
    </w:p>
    <w:p>
      <w:pPr>
        <w:spacing w:line="300" w:lineRule="auto"/>
        <w:rPr>
          <w:color w:val="auto"/>
          <w:szCs w:val="21"/>
        </w:rPr>
      </w:pPr>
      <w:r>
        <w:rPr>
          <w:color w:val="auto"/>
          <w:szCs w:val="21"/>
        </w:rPr>
        <w:t>附件五</w:t>
      </w:r>
    </w:p>
    <w:p>
      <w:pPr>
        <w:spacing w:line="500" w:lineRule="exact"/>
        <w:jc w:val="center"/>
        <w:rPr>
          <w:rFonts w:ascii="黑体" w:hAnsi="黑体" w:eastAsia="黑体" w:cs="黑体"/>
          <w:color w:val="auto"/>
          <w:sz w:val="36"/>
          <w:szCs w:val="36"/>
        </w:rPr>
      </w:pPr>
      <w:r>
        <w:rPr>
          <w:rFonts w:hint="eastAsia" w:ascii="黑体" w:hAnsi="黑体" w:eastAsia="黑体" w:cs="黑体"/>
          <w:color w:val="auto"/>
          <w:sz w:val="36"/>
          <w:szCs w:val="36"/>
        </w:rPr>
        <w:t>法定代表人授权书</w:t>
      </w:r>
    </w:p>
    <w:p>
      <w:pPr>
        <w:spacing w:line="520" w:lineRule="exact"/>
        <w:rPr>
          <w:color w:val="auto"/>
          <w:szCs w:val="21"/>
        </w:rPr>
      </w:pPr>
      <w:r>
        <w:rPr>
          <w:color w:val="auto"/>
          <w:szCs w:val="21"/>
        </w:rPr>
        <w:t>广西东博国际</w:t>
      </w:r>
      <w:r>
        <w:rPr>
          <w:rFonts w:hint="eastAsia"/>
          <w:color w:val="auto"/>
          <w:szCs w:val="21"/>
        </w:rPr>
        <w:t>经贸投资</w:t>
      </w:r>
      <w:r>
        <w:rPr>
          <w:color w:val="auto"/>
          <w:szCs w:val="21"/>
        </w:rPr>
        <w:t>有限公司：</w:t>
      </w:r>
    </w:p>
    <w:p>
      <w:pPr>
        <w:spacing w:line="520" w:lineRule="exact"/>
        <w:ind w:firstLine="420" w:firstLineChars="200"/>
        <w:rPr>
          <w:color w:val="auto"/>
          <w:szCs w:val="21"/>
        </w:rPr>
      </w:pPr>
      <w:r>
        <w:rPr>
          <w:color w:val="auto"/>
          <w:szCs w:val="21"/>
        </w:rPr>
        <w:t>兹授权</w:t>
      </w:r>
      <w:r>
        <w:rPr>
          <w:color w:val="auto"/>
          <w:szCs w:val="21"/>
          <w:u w:val="single"/>
        </w:rPr>
        <w:t xml:space="preserve">      </w:t>
      </w:r>
      <w:r>
        <w:rPr>
          <w:color w:val="auto"/>
          <w:szCs w:val="21"/>
        </w:rPr>
        <w:t>同志为我公司参加贵单位组织的</w:t>
      </w:r>
      <w:r>
        <w:rPr>
          <w:color w:val="auto"/>
          <w:szCs w:val="21"/>
          <w:u w:val="single"/>
        </w:rPr>
        <w:t>（项目名称）竞争性磋商</w:t>
      </w:r>
      <w:r>
        <w:rPr>
          <w:color w:val="auto"/>
          <w:szCs w:val="21"/>
        </w:rPr>
        <w:t>采购活动的竞标代表人，全权代表我公司处理在该项目活动中的一切事宜。代理期限从</w:t>
      </w: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日起至</w:t>
      </w: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日止。</w:t>
      </w:r>
    </w:p>
    <w:p>
      <w:pPr>
        <w:spacing w:line="520" w:lineRule="exact"/>
        <w:rPr>
          <w:color w:val="auto"/>
          <w:szCs w:val="21"/>
        </w:rPr>
      </w:pPr>
    </w:p>
    <w:p>
      <w:pPr>
        <w:spacing w:line="520" w:lineRule="exact"/>
        <w:rPr>
          <w:color w:val="auto"/>
          <w:szCs w:val="21"/>
        </w:rPr>
      </w:pPr>
      <w:r>
        <w:rPr>
          <w:color w:val="auto"/>
          <w:szCs w:val="21"/>
        </w:rPr>
        <w:t>授权单位（签章）：</w:t>
      </w:r>
      <w:r>
        <w:rPr>
          <w:color w:val="auto"/>
          <w:szCs w:val="21"/>
          <w:u w:val="single"/>
        </w:rPr>
        <w:t xml:space="preserve">                </w:t>
      </w:r>
    </w:p>
    <w:p>
      <w:pPr>
        <w:spacing w:line="520" w:lineRule="exact"/>
        <w:rPr>
          <w:color w:val="auto"/>
          <w:szCs w:val="21"/>
          <w:u w:val="single"/>
        </w:rPr>
      </w:pPr>
      <w:r>
        <w:rPr>
          <w:color w:val="auto"/>
          <w:szCs w:val="21"/>
        </w:rPr>
        <w:t>法定代表人（签字或盖章）：</w:t>
      </w:r>
      <w:r>
        <w:rPr>
          <w:color w:val="auto"/>
          <w:szCs w:val="21"/>
          <w:u w:val="single"/>
        </w:rPr>
        <w:t xml:space="preserve">         </w:t>
      </w:r>
    </w:p>
    <w:p>
      <w:pPr>
        <w:spacing w:line="520" w:lineRule="exact"/>
        <w:rPr>
          <w:color w:val="auto"/>
          <w:szCs w:val="21"/>
        </w:rPr>
      </w:pPr>
      <w:r>
        <w:rPr>
          <w:color w:val="auto"/>
          <w:szCs w:val="21"/>
        </w:rPr>
        <w:t>被授权代表（签字）：</w:t>
      </w:r>
      <w:r>
        <w:rPr>
          <w:color w:val="auto"/>
          <w:szCs w:val="21"/>
          <w:u w:val="single"/>
        </w:rPr>
        <w:t xml:space="preserve">                </w:t>
      </w:r>
    </w:p>
    <w:p>
      <w:pPr>
        <w:spacing w:line="520" w:lineRule="exact"/>
        <w:rPr>
          <w:color w:val="auto"/>
          <w:szCs w:val="21"/>
        </w:rPr>
      </w:pPr>
      <w:r>
        <w:rPr>
          <w:color w:val="auto"/>
          <w:szCs w:val="21"/>
        </w:rPr>
        <w:t>签发日期：</w:t>
      </w: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日</w:t>
      </w:r>
    </w:p>
    <w:p>
      <w:pPr>
        <w:spacing w:line="520" w:lineRule="exact"/>
        <w:rPr>
          <w:color w:val="auto"/>
          <w:szCs w:val="21"/>
        </w:rPr>
      </w:pPr>
    </w:p>
    <w:p>
      <w:pPr>
        <w:spacing w:line="520" w:lineRule="exact"/>
        <w:ind w:firstLine="420" w:firstLineChars="200"/>
        <w:rPr>
          <w:color w:val="auto"/>
          <w:szCs w:val="21"/>
        </w:rPr>
      </w:pPr>
      <w:r>
        <w:rPr>
          <w:color w:val="auto"/>
          <w:szCs w:val="21"/>
        </w:rPr>
        <w:t>附：代理人工作单位：</w:t>
      </w:r>
      <w:r>
        <w:rPr>
          <w:color w:val="auto"/>
          <w:szCs w:val="21"/>
          <w:u w:val="single"/>
        </w:rPr>
        <w:t xml:space="preserve">                     </w:t>
      </w:r>
    </w:p>
    <w:p>
      <w:pPr>
        <w:spacing w:line="520" w:lineRule="exact"/>
        <w:ind w:firstLine="420" w:firstLineChars="200"/>
        <w:rPr>
          <w:color w:val="auto"/>
          <w:szCs w:val="21"/>
        </w:rPr>
      </w:pPr>
      <w:r>
        <w:rPr>
          <w:color w:val="auto"/>
          <w:szCs w:val="21"/>
        </w:rPr>
        <w:t>职务：</w:t>
      </w:r>
      <w:r>
        <w:rPr>
          <w:color w:val="auto"/>
          <w:szCs w:val="21"/>
          <w:u w:val="single"/>
        </w:rPr>
        <w:t xml:space="preserve">                    </w:t>
      </w:r>
      <w:r>
        <w:rPr>
          <w:color w:val="auto"/>
          <w:szCs w:val="21"/>
        </w:rPr>
        <w:t xml:space="preserve">      性别：</w:t>
      </w:r>
      <w:r>
        <w:rPr>
          <w:color w:val="auto"/>
          <w:szCs w:val="21"/>
          <w:u w:val="single"/>
        </w:rPr>
        <w:t xml:space="preserve">    </w:t>
      </w:r>
    </w:p>
    <w:p>
      <w:pPr>
        <w:adjustRightInd w:val="0"/>
        <w:snapToGrid w:val="0"/>
        <w:spacing w:line="520" w:lineRule="exact"/>
        <w:ind w:firstLine="420" w:firstLineChars="200"/>
        <w:rPr>
          <w:color w:val="auto"/>
          <w:szCs w:val="21"/>
          <w:u w:val="single"/>
        </w:rPr>
      </w:pPr>
      <w:r>
        <w:rPr>
          <w:color w:val="auto"/>
          <w:szCs w:val="21"/>
        </w:rPr>
        <w:t>身份证号码：</w:t>
      </w:r>
      <w:r>
        <w:rPr>
          <w:color w:val="auto"/>
          <w:szCs w:val="21"/>
          <w:u w:val="single"/>
        </w:rPr>
        <w:t xml:space="preserve">                              </w:t>
      </w:r>
    </w:p>
    <w:p>
      <w:pPr>
        <w:adjustRightInd w:val="0"/>
        <w:snapToGrid w:val="0"/>
        <w:spacing w:line="520" w:lineRule="exact"/>
        <w:ind w:firstLine="420" w:firstLineChars="200"/>
        <w:rPr>
          <w:color w:val="auto"/>
          <w:szCs w:val="21"/>
          <w:u w:val="single"/>
        </w:rPr>
      </w:pPr>
    </w:p>
    <w:tbl>
      <w:tblPr>
        <w:tblStyle w:val="15"/>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9" w:hRule="atLeast"/>
        </w:trPr>
        <w:tc>
          <w:tcPr>
            <w:tcW w:w="8657" w:type="dxa"/>
          </w:tcPr>
          <w:p>
            <w:pPr>
              <w:spacing w:line="300" w:lineRule="auto"/>
              <w:rPr>
                <w:color w:val="auto"/>
                <w:szCs w:val="21"/>
              </w:rPr>
            </w:pPr>
            <w:r>
              <w:rPr>
                <w:color w:val="auto"/>
                <w:szCs w:val="21"/>
              </w:rPr>
              <w:t>粘贴被授权人身份证（正、反两面复印件）</w:t>
            </w:r>
          </w:p>
        </w:tc>
      </w:tr>
    </w:tbl>
    <w:p>
      <w:pPr>
        <w:autoSpaceDE w:val="0"/>
        <w:autoSpaceDN w:val="0"/>
        <w:spacing w:line="300" w:lineRule="auto"/>
        <w:ind w:left="480" w:hanging="480"/>
        <w:rPr>
          <w:color w:val="auto"/>
          <w:szCs w:val="21"/>
        </w:rPr>
      </w:pPr>
    </w:p>
    <w:p>
      <w:pPr>
        <w:pStyle w:val="9"/>
        <w:spacing w:line="300" w:lineRule="auto"/>
        <w:rPr>
          <w:rFonts w:ascii="Times New Roman" w:hAnsi="Times New Roman" w:cs="Times New Roman"/>
          <w:color w:val="auto"/>
        </w:rPr>
      </w:pPr>
    </w:p>
    <w:p>
      <w:pPr>
        <w:pStyle w:val="9"/>
        <w:spacing w:line="300" w:lineRule="auto"/>
        <w:rPr>
          <w:rFonts w:ascii="Times New Roman" w:hAnsi="Times New Roman" w:cs="Times New Roman"/>
          <w:color w:val="auto"/>
        </w:rPr>
      </w:pPr>
      <w:r>
        <w:rPr>
          <w:rFonts w:ascii="Times New Roman" w:hAnsi="Times New Roman" w:cs="Times New Roman"/>
          <w:color w:val="auto"/>
        </w:rPr>
        <w:br w:type="page"/>
      </w:r>
      <w:r>
        <w:rPr>
          <w:rFonts w:ascii="Times New Roman" w:hAnsi="Times New Roman" w:cs="Times New Roman"/>
          <w:color w:val="auto"/>
        </w:rPr>
        <w:t>附件六</w:t>
      </w:r>
    </w:p>
    <w:p>
      <w:pPr>
        <w:pStyle w:val="9"/>
        <w:spacing w:line="400" w:lineRule="exact"/>
        <w:jc w:val="center"/>
        <w:rPr>
          <w:rFonts w:ascii="黑体" w:hAnsi="黑体" w:eastAsia="黑体" w:cs="黑体"/>
          <w:color w:val="auto"/>
          <w:sz w:val="36"/>
          <w:szCs w:val="36"/>
        </w:rPr>
      </w:pPr>
      <w:r>
        <w:rPr>
          <w:rFonts w:hint="eastAsia" w:ascii="黑体" w:hAnsi="黑体" w:eastAsia="黑体" w:cs="黑体"/>
          <w:color w:val="auto"/>
          <w:sz w:val="36"/>
          <w:szCs w:val="36"/>
        </w:rPr>
        <w:t>其他文件</w:t>
      </w:r>
    </w:p>
    <w:p>
      <w:pPr>
        <w:spacing w:line="420" w:lineRule="exact"/>
        <w:ind w:firstLine="420" w:firstLineChars="200"/>
        <w:rPr>
          <w:b/>
          <w:bCs/>
          <w:color w:val="auto"/>
          <w:szCs w:val="21"/>
        </w:rPr>
      </w:pPr>
      <w:r>
        <w:rPr>
          <w:color w:val="auto"/>
          <w:szCs w:val="21"/>
        </w:rPr>
        <w:t>6.竞标人有效的“</w:t>
      </w:r>
      <w:r>
        <w:rPr>
          <w:b/>
          <w:color w:val="auto"/>
          <w:szCs w:val="21"/>
        </w:rPr>
        <w:t>营业执照</w:t>
      </w:r>
      <w:r>
        <w:rPr>
          <w:color w:val="auto"/>
          <w:szCs w:val="21"/>
        </w:rPr>
        <w:t>”副本内页复印件（必须加盖单位公章）；</w:t>
      </w:r>
      <w:r>
        <w:rPr>
          <w:b/>
          <w:bCs/>
          <w:color w:val="auto"/>
          <w:szCs w:val="21"/>
        </w:rPr>
        <w:t>（必须提供）</w:t>
      </w:r>
    </w:p>
    <w:p>
      <w:pPr>
        <w:pStyle w:val="3"/>
        <w:rPr>
          <w:color w:val="auto"/>
        </w:rPr>
      </w:pPr>
    </w:p>
    <w:p>
      <w:pPr>
        <w:pStyle w:val="3"/>
        <w:rPr>
          <w:color w:val="auto"/>
        </w:rPr>
      </w:pPr>
    </w:p>
    <w:p>
      <w:pPr>
        <w:spacing w:line="420" w:lineRule="exact"/>
        <w:ind w:firstLine="420" w:firstLineChars="200"/>
        <w:rPr>
          <w:color w:val="auto"/>
          <w:kern w:val="0"/>
          <w:szCs w:val="21"/>
        </w:rPr>
      </w:pPr>
      <w:r>
        <w:rPr>
          <w:rFonts w:hint="eastAsia"/>
          <w:color w:val="auto"/>
          <w:kern w:val="0"/>
          <w:szCs w:val="21"/>
        </w:rPr>
        <w:t>7</w:t>
      </w:r>
      <w:r>
        <w:rPr>
          <w:color w:val="auto"/>
          <w:kern w:val="0"/>
          <w:szCs w:val="21"/>
        </w:rPr>
        <w:t>.其他特殊资质证明；</w:t>
      </w:r>
    </w:p>
    <w:p>
      <w:pPr>
        <w:adjustRightInd w:val="0"/>
        <w:snapToGrid w:val="0"/>
        <w:spacing w:line="400" w:lineRule="exact"/>
        <w:ind w:firstLine="420" w:firstLineChars="200"/>
        <w:rPr>
          <w:color w:val="auto"/>
          <w:szCs w:val="21"/>
        </w:rPr>
      </w:pPr>
      <w:r>
        <w:rPr>
          <w:rFonts w:hint="eastAsia"/>
          <w:color w:val="auto"/>
          <w:szCs w:val="21"/>
        </w:rPr>
        <w:t>8</w:t>
      </w:r>
      <w:r>
        <w:rPr>
          <w:color w:val="auto"/>
          <w:szCs w:val="21"/>
        </w:rPr>
        <w:t>.竞标人认为可以证明其能力或业绩的其他材料；</w:t>
      </w:r>
    </w:p>
    <w:p>
      <w:pPr>
        <w:adjustRightInd w:val="0"/>
        <w:snapToGrid w:val="0"/>
        <w:spacing w:line="400" w:lineRule="exact"/>
        <w:ind w:firstLine="420" w:firstLineChars="200"/>
        <w:rPr>
          <w:color w:val="auto"/>
          <w:szCs w:val="21"/>
        </w:rPr>
      </w:pPr>
      <w:r>
        <w:rPr>
          <w:rFonts w:hint="eastAsia"/>
          <w:color w:val="auto"/>
          <w:szCs w:val="21"/>
        </w:rPr>
        <w:t>9</w:t>
      </w:r>
      <w:r>
        <w:rPr>
          <w:color w:val="auto"/>
          <w:szCs w:val="21"/>
        </w:rPr>
        <w:t>.项目实施人员一览表</w:t>
      </w:r>
      <w:r>
        <w:rPr>
          <w:b/>
          <w:bCs/>
          <w:color w:val="auto"/>
          <w:szCs w:val="21"/>
          <w:highlight w:val="none"/>
        </w:rPr>
        <w:t>（</w:t>
      </w:r>
      <w:r>
        <w:rPr>
          <w:rFonts w:hint="eastAsia"/>
          <w:b/>
          <w:bCs/>
          <w:color w:val="auto"/>
          <w:szCs w:val="21"/>
          <w:highlight w:val="none"/>
        </w:rPr>
        <w:t>附</w:t>
      </w:r>
      <w:r>
        <w:rPr>
          <w:rFonts w:hint="default"/>
          <w:b/>
          <w:bCs/>
          <w:color w:val="auto"/>
          <w:szCs w:val="21"/>
          <w:highlight w:val="none"/>
          <w:lang w:val="en-US" w:eastAsia="zh-CN"/>
        </w:rPr>
        <w:t>团队成员的简历、近3个月社保证明或劳动合同复印件）</w:t>
      </w:r>
      <w:r>
        <w:rPr>
          <w:color w:val="auto"/>
          <w:szCs w:val="21"/>
          <w:highlight w:val="none"/>
        </w:rPr>
        <w:t>；</w:t>
      </w:r>
    </w:p>
    <w:p>
      <w:pPr>
        <w:adjustRightInd w:val="0"/>
        <w:snapToGrid w:val="0"/>
        <w:spacing w:line="400" w:lineRule="exact"/>
        <w:ind w:firstLine="420" w:firstLineChars="200"/>
        <w:rPr>
          <w:color w:val="auto"/>
          <w:szCs w:val="21"/>
        </w:rPr>
      </w:pPr>
    </w:p>
    <w:p>
      <w:pPr>
        <w:jc w:val="center"/>
        <w:rPr>
          <w:rFonts w:ascii="黑体" w:hAnsi="黑体" w:eastAsia="黑体" w:cs="黑体"/>
          <w:color w:val="auto"/>
          <w:sz w:val="36"/>
          <w:szCs w:val="36"/>
        </w:rPr>
      </w:pPr>
    </w:p>
    <w:p>
      <w:pPr>
        <w:jc w:val="center"/>
        <w:rPr>
          <w:rFonts w:ascii="黑体" w:hAnsi="黑体" w:eastAsia="黑体" w:cs="黑体"/>
          <w:color w:val="auto"/>
          <w:sz w:val="36"/>
          <w:szCs w:val="36"/>
        </w:rPr>
      </w:pPr>
      <w:r>
        <w:rPr>
          <w:rFonts w:hint="eastAsia" w:ascii="黑体" w:hAnsi="黑体" w:eastAsia="黑体" w:cs="黑体"/>
          <w:color w:val="auto"/>
          <w:sz w:val="36"/>
          <w:szCs w:val="36"/>
        </w:rPr>
        <w:t>项目实施人员一览表</w:t>
      </w:r>
    </w:p>
    <w:tbl>
      <w:tblPr>
        <w:tblStyle w:val="1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1362"/>
        <w:gridCol w:w="1742"/>
        <w:gridCol w:w="4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pPr>
              <w:snapToGrid w:val="0"/>
              <w:spacing w:before="50" w:after="159" w:afterLines="50"/>
              <w:jc w:val="center"/>
              <w:rPr>
                <w:color w:val="auto"/>
                <w:sz w:val="24"/>
                <w:szCs w:val="20"/>
              </w:rPr>
            </w:pPr>
            <w:r>
              <w:rPr>
                <w:color w:val="auto"/>
                <w:sz w:val="24"/>
                <w:szCs w:val="20"/>
              </w:rPr>
              <w:t>姓名</w:t>
            </w:r>
          </w:p>
        </w:tc>
        <w:tc>
          <w:tcPr>
            <w:tcW w:w="1362" w:type="dxa"/>
            <w:vAlign w:val="center"/>
          </w:tcPr>
          <w:p>
            <w:pPr>
              <w:snapToGrid w:val="0"/>
              <w:spacing w:before="50" w:after="159" w:afterLines="50"/>
              <w:jc w:val="center"/>
              <w:rPr>
                <w:color w:val="auto"/>
                <w:sz w:val="24"/>
                <w:szCs w:val="20"/>
              </w:rPr>
            </w:pPr>
            <w:r>
              <w:rPr>
                <w:rFonts w:hint="eastAsia"/>
                <w:color w:val="auto"/>
                <w:sz w:val="24"/>
                <w:szCs w:val="20"/>
              </w:rPr>
              <w:t>岗位</w:t>
            </w:r>
          </w:p>
        </w:tc>
        <w:tc>
          <w:tcPr>
            <w:tcW w:w="1742" w:type="dxa"/>
            <w:vAlign w:val="center"/>
          </w:tcPr>
          <w:p>
            <w:pPr>
              <w:snapToGrid w:val="0"/>
              <w:spacing w:before="50" w:after="159" w:afterLines="50"/>
              <w:jc w:val="center"/>
              <w:rPr>
                <w:color w:val="auto"/>
                <w:sz w:val="24"/>
                <w:szCs w:val="20"/>
              </w:rPr>
            </w:pPr>
            <w:r>
              <w:rPr>
                <w:rFonts w:hint="eastAsia"/>
                <w:color w:val="auto"/>
                <w:sz w:val="24"/>
                <w:szCs w:val="20"/>
              </w:rPr>
              <w:t>工作年份</w:t>
            </w:r>
          </w:p>
        </w:tc>
        <w:tc>
          <w:tcPr>
            <w:tcW w:w="4119" w:type="dxa"/>
            <w:vAlign w:val="center"/>
          </w:tcPr>
          <w:p>
            <w:pPr>
              <w:snapToGrid w:val="0"/>
              <w:spacing w:before="50" w:after="159" w:afterLines="50"/>
              <w:jc w:val="center"/>
              <w:rPr>
                <w:color w:val="auto"/>
                <w:sz w:val="24"/>
                <w:szCs w:val="20"/>
              </w:rPr>
            </w:pPr>
            <w:r>
              <w:rPr>
                <w:rFonts w:hint="eastAsia"/>
                <w:color w:val="auto"/>
                <w:sz w:val="24"/>
                <w:szCs w:val="20"/>
              </w:rPr>
              <w:t>本项目负责工作内容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pPr>
              <w:snapToGrid w:val="0"/>
              <w:spacing w:before="50" w:after="159" w:afterLines="50"/>
              <w:jc w:val="center"/>
              <w:rPr>
                <w:color w:val="auto"/>
                <w:sz w:val="24"/>
                <w:szCs w:val="20"/>
              </w:rPr>
            </w:pPr>
          </w:p>
        </w:tc>
        <w:tc>
          <w:tcPr>
            <w:tcW w:w="1362" w:type="dxa"/>
            <w:vAlign w:val="center"/>
          </w:tcPr>
          <w:p>
            <w:pPr>
              <w:snapToGrid w:val="0"/>
              <w:spacing w:before="50" w:after="159" w:afterLines="50"/>
              <w:jc w:val="center"/>
              <w:rPr>
                <w:color w:val="auto"/>
                <w:sz w:val="24"/>
                <w:szCs w:val="20"/>
              </w:rPr>
            </w:pPr>
          </w:p>
        </w:tc>
        <w:tc>
          <w:tcPr>
            <w:tcW w:w="1742" w:type="dxa"/>
            <w:vAlign w:val="center"/>
          </w:tcPr>
          <w:p>
            <w:pPr>
              <w:snapToGrid w:val="0"/>
              <w:spacing w:before="50" w:after="159" w:afterLines="50"/>
              <w:jc w:val="center"/>
              <w:rPr>
                <w:color w:val="auto"/>
                <w:sz w:val="24"/>
                <w:szCs w:val="20"/>
              </w:rPr>
            </w:pPr>
          </w:p>
        </w:tc>
        <w:tc>
          <w:tcPr>
            <w:tcW w:w="4119" w:type="dxa"/>
            <w:vAlign w:val="center"/>
          </w:tcPr>
          <w:p>
            <w:pPr>
              <w:snapToGrid w:val="0"/>
              <w:spacing w:before="50" w:after="159" w:afterLines="50"/>
              <w:jc w:val="center"/>
              <w:rPr>
                <w:color w:val="auto"/>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pPr>
              <w:snapToGrid w:val="0"/>
              <w:spacing w:before="50" w:after="159" w:afterLines="50"/>
              <w:jc w:val="center"/>
              <w:rPr>
                <w:color w:val="auto"/>
                <w:sz w:val="24"/>
                <w:szCs w:val="20"/>
              </w:rPr>
            </w:pPr>
          </w:p>
        </w:tc>
        <w:tc>
          <w:tcPr>
            <w:tcW w:w="1362" w:type="dxa"/>
            <w:vAlign w:val="center"/>
          </w:tcPr>
          <w:p>
            <w:pPr>
              <w:snapToGrid w:val="0"/>
              <w:spacing w:before="50" w:after="159" w:afterLines="50"/>
              <w:jc w:val="center"/>
              <w:rPr>
                <w:color w:val="auto"/>
                <w:sz w:val="24"/>
                <w:szCs w:val="20"/>
              </w:rPr>
            </w:pPr>
          </w:p>
        </w:tc>
        <w:tc>
          <w:tcPr>
            <w:tcW w:w="1742" w:type="dxa"/>
            <w:vAlign w:val="center"/>
          </w:tcPr>
          <w:p>
            <w:pPr>
              <w:snapToGrid w:val="0"/>
              <w:spacing w:before="50" w:after="159" w:afterLines="50"/>
              <w:jc w:val="center"/>
              <w:rPr>
                <w:color w:val="auto"/>
                <w:sz w:val="24"/>
                <w:szCs w:val="20"/>
              </w:rPr>
            </w:pPr>
          </w:p>
        </w:tc>
        <w:tc>
          <w:tcPr>
            <w:tcW w:w="4119" w:type="dxa"/>
            <w:vAlign w:val="center"/>
          </w:tcPr>
          <w:p>
            <w:pPr>
              <w:snapToGrid w:val="0"/>
              <w:spacing w:before="50" w:after="159" w:afterLines="50"/>
              <w:jc w:val="center"/>
              <w:rPr>
                <w:color w:val="auto"/>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9" w:type="dxa"/>
            <w:vAlign w:val="center"/>
          </w:tcPr>
          <w:p>
            <w:pPr>
              <w:snapToGrid w:val="0"/>
              <w:spacing w:before="50" w:after="159" w:afterLines="50"/>
              <w:jc w:val="center"/>
              <w:rPr>
                <w:color w:val="auto"/>
                <w:sz w:val="24"/>
                <w:szCs w:val="20"/>
              </w:rPr>
            </w:pPr>
          </w:p>
        </w:tc>
        <w:tc>
          <w:tcPr>
            <w:tcW w:w="1362" w:type="dxa"/>
            <w:vAlign w:val="center"/>
          </w:tcPr>
          <w:p>
            <w:pPr>
              <w:snapToGrid w:val="0"/>
              <w:spacing w:before="50" w:after="159" w:afterLines="50"/>
              <w:jc w:val="center"/>
              <w:rPr>
                <w:color w:val="auto"/>
                <w:sz w:val="24"/>
                <w:szCs w:val="20"/>
              </w:rPr>
            </w:pPr>
          </w:p>
        </w:tc>
        <w:tc>
          <w:tcPr>
            <w:tcW w:w="1742" w:type="dxa"/>
            <w:vAlign w:val="center"/>
          </w:tcPr>
          <w:p>
            <w:pPr>
              <w:snapToGrid w:val="0"/>
              <w:spacing w:before="50" w:after="159" w:afterLines="50"/>
              <w:jc w:val="center"/>
              <w:rPr>
                <w:color w:val="auto"/>
                <w:sz w:val="24"/>
                <w:szCs w:val="20"/>
              </w:rPr>
            </w:pPr>
          </w:p>
        </w:tc>
        <w:tc>
          <w:tcPr>
            <w:tcW w:w="4119" w:type="dxa"/>
            <w:vAlign w:val="center"/>
          </w:tcPr>
          <w:p>
            <w:pPr>
              <w:snapToGrid w:val="0"/>
              <w:spacing w:before="50" w:after="159" w:afterLines="50"/>
              <w:jc w:val="center"/>
              <w:rPr>
                <w:color w:val="auto"/>
                <w:sz w:val="24"/>
                <w:szCs w:val="20"/>
              </w:rPr>
            </w:pPr>
          </w:p>
        </w:tc>
      </w:tr>
    </w:tbl>
    <w:p>
      <w:pPr>
        <w:snapToGrid w:val="0"/>
        <w:spacing w:before="50" w:after="159" w:afterLines="50"/>
        <w:jc w:val="left"/>
        <w:rPr>
          <w:color w:val="auto"/>
          <w:sz w:val="24"/>
          <w:szCs w:val="20"/>
        </w:rPr>
      </w:pPr>
      <w:r>
        <w:rPr>
          <w:color w:val="auto"/>
          <w:sz w:val="24"/>
          <w:szCs w:val="20"/>
        </w:rPr>
        <w:t>注：在填写时，如本表格不适合投标单位的实际情况，可根据本表格式自行制表填写。</w:t>
      </w:r>
    </w:p>
    <w:p>
      <w:pPr>
        <w:snapToGrid w:val="0"/>
        <w:spacing w:before="50" w:after="50"/>
        <w:rPr>
          <w:color w:val="auto"/>
          <w:spacing w:val="20"/>
          <w:sz w:val="24"/>
          <w:szCs w:val="20"/>
          <w:u w:val="single"/>
        </w:rPr>
      </w:pPr>
      <w:r>
        <w:rPr>
          <w:color w:val="auto"/>
          <w:sz w:val="24"/>
        </w:rPr>
        <w:t>法定代表人或被授权人</w:t>
      </w:r>
      <w:r>
        <w:rPr>
          <w:color w:val="auto"/>
          <w:spacing w:val="20"/>
          <w:sz w:val="24"/>
        </w:rPr>
        <w:t>签名：</w:t>
      </w:r>
      <w:r>
        <w:rPr>
          <w:color w:val="auto"/>
          <w:spacing w:val="20"/>
          <w:sz w:val="24"/>
          <w:u w:val="single"/>
        </w:rPr>
        <w:t xml:space="preserve">        </w:t>
      </w:r>
    </w:p>
    <w:p>
      <w:pPr>
        <w:snapToGrid w:val="0"/>
        <w:spacing w:before="50" w:after="159" w:afterLines="50"/>
        <w:jc w:val="left"/>
        <w:rPr>
          <w:color w:val="auto"/>
          <w:spacing w:val="20"/>
          <w:sz w:val="24"/>
          <w:u w:val="single"/>
        </w:rPr>
      </w:pPr>
      <w:r>
        <w:rPr>
          <w:rFonts w:hint="eastAsia"/>
          <w:color w:val="auto"/>
          <w:spacing w:val="20"/>
          <w:sz w:val="24"/>
        </w:rPr>
        <w:t>竞标人</w:t>
      </w:r>
      <w:r>
        <w:rPr>
          <w:color w:val="auto"/>
          <w:spacing w:val="20"/>
          <w:sz w:val="24"/>
        </w:rPr>
        <w:t>盖公章：</w:t>
      </w:r>
      <w:r>
        <w:rPr>
          <w:color w:val="auto"/>
          <w:spacing w:val="20"/>
          <w:sz w:val="24"/>
          <w:u w:val="single"/>
        </w:rPr>
        <w:t xml:space="preserve">            </w:t>
      </w:r>
      <w:r>
        <w:rPr>
          <w:color w:val="auto"/>
          <w:spacing w:val="20"/>
          <w:sz w:val="24"/>
        </w:rPr>
        <w:t xml:space="preserve">              日 期：</w:t>
      </w:r>
      <w:r>
        <w:rPr>
          <w:color w:val="auto"/>
          <w:spacing w:val="20"/>
          <w:sz w:val="24"/>
          <w:u w:val="single"/>
        </w:rPr>
        <w:t xml:space="preserve">         </w:t>
      </w:r>
    </w:p>
    <w:p>
      <w:pPr>
        <w:pStyle w:val="3"/>
        <w:rPr>
          <w:color w:val="auto"/>
        </w:rPr>
      </w:pPr>
    </w:p>
    <w:p>
      <w:pPr>
        <w:pStyle w:val="14"/>
        <w:ind w:firstLine="0" w:firstLineChars="0"/>
        <w:rPr>
          <w:color w:val="auto"/>
        </w:rPr>
      </w:pPr>
    </w:p>
    <w:p>
      <w:pPr>
        <w:spacing w:line="400" w:lineRule="exact"/>
        <w:ind w:firstLine="420" w:firstLineChars="200"/>
        <w:rPr>
          <w:color w:val="auto"/>
          <w:szCs w:val="21"/>
        </w:rPr>
      </w:pPr>
      <w:r>
        <w:rPr>
          <w:rFonts w:hint="eastAsia"/>
          <w:color w:val="auto"/>
          <w:szCs w:val="21"/>
        </w:rPr>
        <w:t>10</w:t>
      </w:r>
      <w:r>
        <w:rPr>
          <w:color w:val="auto"/>
          <w:szCs w:val="21"/>
        </w:rPr>
        <w:t>.竞标人对本项目的合理化建议和改进措施；</w:t>
      </w:r>
    </w:p>
    <w:p>
      <w:pPr>
        <w:spacing w:line="400" w:lineRule="exact"/>
        <w:ind w:firstLine="420" w:firstLineChars="200"/>
        <w:rPr>
          <w:color w:val="auto"/>
          <w:szCs w:val="21"/>
        </w:rPr>
      </w:pPr>
      <w:r>
        <w:rPr>
          <w:color w:val="auto"/>
          <w:szCs w:val="21"/>
        </w:rPr>
        <w:t>1</w:t>
      </w:r>
      <w:r>
        <w:rPr>
          <w:rFonts w:hint="eastAsia"/>
          <w:color w:val="auto"/>
          <w:szCs w:val="21"/>
        </w:rPr>
        <w:t>1</w:t>
      </w:r>
      <w:r>
        <w:rPr>
          <w:color w:val="auto"/>
          <w:szCs w:val="21"/>
        </w:rPr>
        <w:t>.本竞争性磋商文件要求提供的其他资料和需要说明的问题；</w:t>
      </w:r>
    </w:p>
    <w:p>
      <w:pPr>
        <w:spacing w:line="420" w:lineRule="exact"/>
        <w:ind w:firstLine="526" w:firstLineChars="250"/>
        <w:rPr>
          <w:color w:val="auto"/>
          <w:szCs w:val="21"/>
        </w:rPr>
      </w:pPr>
      <w:r>
        <w:rPr>
          <w:b/>
          <w:color w:val="auto"/>
          <w:szCs w:val="21"/>
        </w:rPr>
        <w:t>（以上附件可根据竞争性磋商文件要求必须提供的资料排序，其余资料酌情提供，</w:t>
      </w:r>
      <w:r>
        <w:rPr>
          <w:b/>
          <w:bCs/>
          <w:color w:val="auto"/>
          <w:kern w:val="0"/>
          <w:szCs w:val="21"/>
        </w:rPr>
        <w:t>且证明材料均需加盖单位公章，否则不予以作为评分依据</w:t>
      </w:r>
      <w:r>
        <w:rPr>
          <w:b/>
          <w:color w:val="auto"/>
          <w:szCs w:val="21"/>
        </w:rPr>
        <w:t>）</w:t>
      </w:r>
    </w:p>
    <w:p>
      <w:pPr>
        <w:widowControl/>
        <w:spacing w:line="500" w:lineRule="exact"/>
        <w:ind w:firstLine="420" w:firstLineChars="200"/>
        <w:jc w:val="left"/>
        <w:rPr>
          <w:color w:val="auto"/>
          <w:kern w:val="0"/>
          <w:szCs w:val="21"/>
        </w:rPr>
      </w:pPr>
      <w:r>
        <w:rPr>
          <w:color w:val="auto"/>
          <w:kern w:val="0"/>
          <w:szCs w:val="21"/>
        </w:rPr>
        <w:br w:type="page"/>
      </w:r>
    </w:p>
    <w:p>
      <w:pPr>
        <w:spacing w:line="500" w:lineRule="exact"/>
        <w:ind w:firstLine="420" w:firstLineChars="200"/>
        <w:jc w:val="left"/>
        <w:rPr>
          <w:color w:val="auto"/>
          <w:szCs w:val="21"/>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autoSpaceDE w:val="0"/>
        <w:autoSpaceDN w:val="0"/>
        <w:adjustRightInd w:val="0"/>
        <w:snapToGrid w:val="0"/>
        <w:spacing w:line="300" w:lineRule="auto"/>
        <w:ind w:firstLine="2864" w:firstLineChars="895"/>
        <w:rPr>
          <w:color w:val="auto"/>
          <w:kern w:val="0"/>
          <w:sz w:val="32"/>
          <w:szCs w:val="32"/>
        </w:rPr>
      </w:pPr>
    </w:p>
    <w:p>
      <w:pPr>
        <w:pStyle w:val="2"/>
        <w:rPr>
          <w:color w:val="auto"/>
        </w:rPr>
      </w:pPr>
      <w:bookmarkStart w:id="47" w:name="_Toc77937046"/>
      <w:bookmarkStart w:id="48" w:name="OLE_LINK15"/>
      <w:r>
        <w:rPr>
          <w:color w:val="auto"/>
        </w:rPr>
        <w:t>第六章  合同主要条款</w:t>
      </w:r>
      <w:bookmarkEnd w:id="47"/>
    </w:p>
    <w:bookmarkEnd w:id="48"/>
    <w:p>
      <w:pPr>
        <w:spacing w:line="300" w:lineRule="auto"/>
        <w:ind w:left="420" w:hanging="420"/>
        <w:jc w:val="center"/>
        <w:rPr>
          <w:color w:val="auto"/>
          <w:kern w:val="0"/>
          <w:sz w:val="32"/>
          <w:szCs w:val="32"/>
        </w:rPr>
      </w:pPr>
      <w:r>
        <w:rPr>
          <w:rFonts w:hint="eastAsia"/>
          <w:color w:val="auto"/>
          <w:kern w:val="0"/>
          <w:sz w:val="32"/>
          <w:szCs w:val="32"/>
        </w:rPr>
        <w:t>（合同以最终签订版本为准）</w:t>
      </w:r>
    </w:p>
    <w:p>
      <w:pPr>
        <w:spacing w:line="300" w:lineRule="auto"/>
        <w:ind w:left="420" w:hanging="420"/>
        <w:jc w:val="center"/>
        <w:rPr>
          <w:color w:val="auto"/>
          <w:kern w:val="0"/>
          <w:sz w:val="32"/>
          <w:szCs w:val="32"/>
        </w:rPr>
      </w:pPr>
    </w:p>
    <w:p>
      <w:pPr>
        <w:spacing w:line="300" w:lineRule="auto"/>
        <w:ind w:left="420" w:hanging="420"/>
        <w:jc w:val="center"/>
        <w:rPr>
          <w:color w:val="auto"/>
          <w:kern w:val="0"/>
          <w:sz w:val="32"/>
          <w:szCs w:val="32"/>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spacing w:line="300" w:lineRule="auto"/>
        <w:rPr>
          <w:color w:val="auto"/>
          <w:szCs w:val="21"/>
        </w:rPr>
      </w:pPr>
    </w:p>
    <w:p>
      <w:pPr>
        <w:rPr>
          <w:color w:val="auto"/>
        </w:rPr>
      </w:pPr>
    </w:p>
    <w:sectPr>
      <w:footerReference r:id="rId10" w:type="default"/>
      <w:pgSz w:w="11850" w:h="16783"/>
      <w:pgMar w:top="1247" w:right="1247" w:bottom="1247" w:left="1247"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modern"/>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仿宋_GB2312">
    <w:altName w:val="汉仪仿宋KW"/>
    <w:panose1 w:val="02000000000000000000"/>
    <w:charset w:val="86"/>
    <w:family w:val="auto"/>
    <w:pitch w:val="default"/>
    <w:sig w:usb0="00000000" w:usb1="00000000" w:usb2="00000012"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rPr>
        <w:lang w:val="zh-CN"/>
      </w:rPr>
      <w:t>17</w:t>
    </w:r>
    <w:r>
      <w:rPr>
        <w:lang w:val="zh-CN"/>
      </w:rP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fldChar w:fldCharType="begin"/>
    </w:r>
    <w:r>
      <w:rPr>
        <w:rStyle w:val="17"/>
      </w:rPr>
      <w:instrText xml:space="preserve">PAGE  </w:instrText>
    </w:r>
    <w:r>
      <w:fldChar w:fldCharType="end"/>
    </w: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s>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s>
      <w:ind w:right="36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s>
      <w:ind w:right="360"/>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fldChar w:fldCharType="begin"/>
                          </w:r>
                          <w:r>
                            <w:instrText xml:space="preserve"> PAGE   \* MERGEFORMAT </w:instrText>
                          </w:r>
                          <w:r>
                            <w:fldChar w:fldCharType="separate"/>
                          </w:r>
                          <w:r>
                            <w:rPr>
                              <w:lang w:val="zh-CN"/>
                            </w:rPr>
                            <w:t>20</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">
              <v:fill on="f" focussize="0,0"/>
              <v:stroke on="f" weight="0.5pt"/>
              <v:imagedata o:title=""/>
              <o:lock v:ext="edit" aspectratio="f"/>
              <v:textbox inset="0mm,0mm,0mm,0mm" style="mso-fit-shape-to-text:t;">
                <w:txbxContent>
                  <w:p>
                    <w:pPr>
                      <w:pStyle w:val="10"/>
                      <w:jc w:val="center"/>
                    </w:pPr>
                    <w:r>
                      <w:fldChar w:fldCharType="begin"/>
                    </w:r>
                    <w:r>
                      <w:instrText xml:space="preserve"> PAGE   \* MERGEFORMAT </w:instrText>
                    </w:r>
                    <w:r>
                      <w:fldChar w:fldCharType="separate"/>
                    </w:r>
                    <w:r>
                      <w:rPr>
                        <w:lang w:val="zh-CN"/>
                      </w:rPr>
                      <w:t>20</w:t>
                    </w:r>
                    <w:r>
                      <w:rPr>
                        <w:lang w:val="zh-CN"/>
                      </w:rPr>
                      <w:fldChar w:fldCharType="end"/>
                    </w:r>
                  </w:p>
                </w:txbxContent>
              </v:textbox>
            </v:shape>
          </w:pict>
        </mc:Fallback>
      </mc:AlternateContent>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1268F"/>
    <w:multiLevelType w:val="singleLevel"/>
    <w:tmpl w:val="9381268F"/>
    <w:lvl w:ilvl="0" w:tentative="0">
      <w:start w:val="1"/>
      <w:numFmt w:val="decimal"/>
      <w:lvlText w:val="%1."/>
      <w:lvlJc w:val="left"/>
      <w:pPr>
        <w:tabs>
          <w:tab w:val="left" w:pos="312"/>
        </w:tabs>
      </w:pPr>
    </w:lvl>
  </w:abstractNum>
  <w:abstractNum w:abstractNumId="1">
    <w:nsid w:val="93FE18D2"/>
    <w:multiLevelType w:val="singleLevel"/>
    <w:tmpl w:val="93FE18D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WI5YjI3MmY3ZDc1NTRmNGYwNWI4NWNjN2YxNmIifQ=="/>
  </w:docVars>
  <w:rsids>
    <w:rsidRoot w:val="09EA2839"/>
    <w:rsid w:val="00365069"/>
    <w:rsid w:val="00980FDC"/>
    <w:rsid w:val="00B42C24"/>
    <w:rsid w:val="00DC5995"/>
    <w:rsid w:val="00E20D5A"/>
    <w:rsid w:val="0246176A"/>
    <w:rsid w:val="026E77D2"/>
    <w:rsid w:val="03667A03"/>
    <w:rsid w:val="05B2719F"/>
    <w:rsid w:val="06587D46"/>
    <w:rsid w:val="07BD75F4"/>
    <w:rsid w:val="07DF070B"/>
    <w:rsid w:val="09EA2839"/>
    <w:rsid w:val="0A590013"/>
    <w:rsid w:val="0A657055"/>
    <w:rsid w:val="0AA572D2"/>
    <w:rsid w:val="0B316DB7"/>
    <w:rsid w:val="0D7A2C98"/>
    <w:rsid w:val="0E0B7D94"/>
    <w:rsid w:val="0E39045D"/>
    <w:rsid w:val="0E794CFD"/>
    <w:rsid w:val="0EC341CA"/>
    <w:rsid w:val="0EFBA370"/>
    <w:rsid w:val="0FC976A6"/>
    <w:rsid w:val="101F3682"/>
    <w:rsid w:val="108A4FA0"/>
    <w:rsid w:val="11A71769"/>
    <w:rsid w:val="124F64A1"/>
    <w:rsid w:val="12A7D122"/>
    <w:rsid w:val="14363963"/>
    <w:rsid w:val="189664AC"/>
    <w:rsid w:val="1BA013E4"/>
    <w:rsid w:val="1D37025D"/>
    <w:rsid w:val="1E8F4DFE"/>
    <w:rsid w:val="20E364ED"/>
    <w:rsid w:val="21545910"/>
    <w:rsid w:val="23AE7851"/>
    <w:rsid w:val="26F176CF"/>
    <w:rsid w:val="27BC1704"/>
    <w:rsid w:val="28C8445F"/>
    <w:rsid w:val="29CC61D1"/>
    <w:rsid w:val="2C191269"/>
    <w:rsid w:val="2C203DBC"/>
    <w:rsid w:val="2E093550"/>
    <w:rsid w:val="2E6D1E34"/>
    <w:rsid w:val="2F7D46D8"/>
    <w:rsid w:val="30843362"/>
    <w:rsid w:val="312B7234"/>
    <w:rsid w:val="319D383A"/>
    <w:rsid w:val="32096934"/>
    <w:rsid w:val="324D6B83"/>
    <w:rsid w:val="33182B1E"/>
    <w:rsid w:val="33435756"/>
    <w:rsid w:val="36CA3A99"/>
    <w:rsid w:val="37AF5C8D"/>
    <w:rsid w:val="37B73821"/>
    <w:rsid w:val="383C2774"/>
    <w:rsid w:val="38783335"/>
    <w:rsid w:val="3BF4A73C"/>
    <w:rsid w:val="3C795D45"/>
    <w:rsid w:val="3CFF2517"/>
    <w:rsid w:val="3D71513B"/>
    <w:rsid w:val="3DBFADBC"/>
    <w:rsid w:val="3DDC344A"/>
    <w:rsid w:val="3DFAF85F"/>
    <w:rsid w:val="3EBBC05D"/>
    <w:rsid w:val="3FBCE09C"/>
    <w:rsid w:val="3FEE8471"/>
    <w:rsid w:val="422E6A20"/>
    <w:rsid w:val="42653ECA"/>
    <w:rsid w:val="43972F54"/>
    <w:rsid w:val="43E061B7"/>
    <w:rsid w:val="47D209FF"/>
    <w:rsid w:val="48F94E45"/>
    <w:rsid w:val="49C2553A"/>
    <w:rsid w:val="4AD04F7F"/>
    <w:rsid w:val="4BA92805"/>
    <w:rsid w:val="4BE7791F"/>
    <w:rsid w:val="4D697710"/>
    <w:rsid w:val="4EF456FF"/>
    <w:rsid w:val="4F3B6C00"/>
    <w:rsid w:val="4FDD67B0"/>
    <w:rsid w:val="510876BF"/>
    <w:rsid w:val="523D5028"/>
    <w:rsid w:val="529A3509"/>
    <w:rsid w:val="52FD1891"/>
    <w:rsid w:val="530F07D3"/>
    <w:rsid w:val="5338205E"/>
    <w:rsid w:val="551543F4"/>
    <w:rsid w:val="56A96530"/>
    <w:rsid w:val="56F86BD3"/>
    <w:rsid w:val="57586D99"/>
    <w:rsid w:val="58093FC9"/>
    <w:rsid w:val="584E5E80"/>
    <w:rsid w:val="58766924"/>
    <w:rsid w:val="5A9A1B9A"/>
    <w:rsid w:val="5BFDF554"/>
    <w:rsid w:val="5C5D13B3"/>
    <w:rsid w:val="5C8A3034"/>
    <w:rsid w:val="5DDDE2F0"/>
    <w:rsid w:val="5DE936A7"/>
    <w:rsid w:val="5F37766E"/>
    <w:rsid w:val="5FE62E42"/>
    <w:rsid w:val="617F52CB"/>
    <w:rsid w:val="61927223"/>
    <w:rsid w:val="61FA47FE"/>
    <w:rsid w:val="645F3544"/>
    <w:rsid w:val="661A1BE8"/>
    <w:rsid w:val="6677AA27"/>
    <w:rsid w:val="668723FC"/>
    <w:rsid w:val="66D24120"/>
    <w:rsid w:val="66E225B5"/>
    <w:rsid w:val="67547394"/>
    <w:rsid w:val="675EE7B1"/>
    <w:rsid w:val="67AB0BF9"/>
    <w:rsid w:val="67DB036B"/>
    <w:rsid w:val="690D7691"/>
    <w:rsid w:val="697DD234"/>
    <w:rsid w:val="69B83AA1"/>
    <w:rsid w:val="6AEB8F94"/>
    <w:rsid w:val="6BCF3EDA"/>
    <w:rsid w:val="6BF520AD"/>
    <w:rsid w:val="6E3B50E8"/>
    <w:rsid w:val="6F697C94"/>
    <w:rsid w:val="6F8D5088"/>
    <w:rsid w:val="6FC22F83"/>
    <w:rsid w:val="6FD87583"/>
    <w:rsid w:val="6FEACE58"/>
    <w:rsid w:val="6FEF069E"/>
    <w:rsid w:val="718633AD"/>
    <w:rsid w:val="72C5DF9F"/>
    <w:rsid w:val="733830D9"/>
    <w:rsid w:val="73E206B5"/>
    <w:rsid w:val="74EBEE35"/>
    <w:rsid w:val="76AD45C3"/>
    <w:rsid w:val="76D3029B"/>
    <w:rsid w:val="76EE61C5"/>
    <w:rsid w:val="77460382"/>
    <w:rsid w:val="77E5A987"/>
    <w:rsid w:val="77FD8EEF"/>
    <w:rsid w:val="780365B2"/>
    <w:rsid w:val="7B0B6F94"/>
    <w:rsid w:val="7BB816DF"/>
    <w:rsid w:val="7BF1B2D9"/>
    <w:rsid w:val="7BFFAF14"/>
    <w:rsid w:val="7C8D6219"/>
    <w:rsid w:val="7DEB44C1"/>
    <w:rsid w:val="7DEBFA09"/>
    <w:rsid w:val="7DF1EABE"/>
    <w:rsid w:val="7E240B01"/>
    <w:rsid w:val="7ED735BD"/>
    <w:rsid w:val="7F143B0B"/>
    <w:rsid w:val="7F7FCD45"/>
    <w:rsid w:val="7F8EE686"/>
    <w:rsid w:val="7F9F55E8"/>
    <w:rsid w:val="7FAB4E18"/>
    <w:rsid w:val="7FFB4181"/>
    <w:rsid w:val="97FB236C"/>
    <w:rsid w:val="997D1A01"/>
    <w:rsid w:val="A7BDB0CE"/>
    <w:rsid w:val="A9EDC1DD"/>
    <w:rsid w:val="B15FEAAB"/>
    <w:rsid w:val="B3ED7B76"/>
    <w:rsid w:val="B5FF8681"/>
    <w:rsid w:val="B7FF7931"/>
    <w:rsid w:val="B9FF5027"/>
    <w:rsid w:val="BB37E3EC"/>
    <w:rsid w:val="BD5B7403"/>
    <w:rsid w:val="BDAD994D"/>
    <w:rsid w:val="BDFD28AE"/>
    <w:rsid w:val="BEFF8C6F"/>
    <w:rsid w:val="BFD6EFAE"/>
    <w:rsid w:val="BFF554F5"/>
    <w:rsid w:val="BFFFB971"/>
    <w:rsid w:val="CBBFEA66"/>
    <w:rsid w:val="CFCFCCCC"/>
    <w:rsid w:val="D6FB2F58"/>
    <w:rsid w:val="DBF3FE37"/>
    <w:rsid w:val="DF2BAA13"/>
    <w:rsid w:val="EE73B43B"/>
    <w:rsid w:val="EEBFA33F"/>
    <w:rsid w:val="EF7CC595"/>
    <w:rsid w:val="EFF2B991"/>
    <w:rsid w:val="F73FE528"/>
    <w:rsid w:val="F7AF397D"/>
    <w:rsid w:val="FCDDF7C4"/>
    <w:rsid w:val="FE772CB8"/>
    <w:rsid w:val="FE7EF491"/>
    <w:rsid w:val="FE7FCB15"/>
    <w:rsid w:val="FEFF568F"/>
    <w:rsid w:val="FF77059E"/>
    <w:rsid w:val="FFBE5AFE"/>
    <w:rsid w:val="FFF20C37"/>
    <w:rsid w:val="FFFC5159"/>
    <w:rsid w:val="FFFF26D9"/>
    <w:rsid w:val="FFFFDC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3"/>
    <w:basedOn w:val="1"/>
    <w:next w:val="1"/>
    <w:qFormat/>
    <w:uiPriority w:val="0"/>
    <w:pPr>
      <w:keepNext/>
      <w:keepLines/>
      <w:spacing w:before="260" w:after="260" w:line="415" w:lineRule="auto"/>
      <w:outlineLvl w:val="2"/>
    </w:pPr>
    <w:rPr>
      <w:b/>
      <w:bCs/>
      <w:sz w:val="32"/>
      <w:szCs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5"/>
    <w:basedOn w:val="1"/>
    <w:next w:val="1"/>
    <w:semiHidden/>
    <w:unhideWhenUsed/>
    <w:qFormat/>
    <w:uiPriority w:val="0"/>
    <w:pPr>
      <w:spacing w:beforeAutospacing="1" w:afterAutospacing="1"/>
      <w:jc w:val="left"/>
      <w:outlineLvl w:val="4"/>
    </w:pPr>
    <w:rPr>
      <w:rFonts w:hint="eastAsia" w:ascii="宋体" w:hAnsi="宋体"/>
      <w:b/>
      <w:bCs/>
      <w:kern w:val="0"/>
      <w:sz w:val="20"/>
      <w:szCs w:val="20"/>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1"/>
    <w:qFormat/>
    <w:uiPriority w:val="0"/>
    <w:pPr>
      <w:spacing w:line="380" w:lineRule="exact"/>
    </w:pPr>
    <w:rPr>
      <w:sz w:val="24"/>
    </w:rPr>
  </w:style>
  <w:style w:type="paragraph" w:styleId="8">
    <w:name w:val="Body Text Indent"/>
    <w:basedOn w:val="1"/>
    <w:qFormat/>
    <w:uiPriority w:val="0"/>
    <w:pPr>
      <w:ind w:firstLine="830" w:firstLineChars="352"/>
    </w:pPr>
    <w:rPr>
      <w:rFonts w:ascii="仿宋_GB2312" w:eastAsia="仿宋_GB2312"/>
      <w:sz w:val="32"/>
      <w:szCs w:val="20"/>
    </w:rPr>
  </w:style>
  <w:style w:type="paragraph" w:styleId="9">
    <w:name w:val="Plain Text"/>
    <w:basedOn w:val="1"/>
    <w:qFormat/>
    <w:uiPriority w:val="99"/>
    <w:rPr>
      <w:rFonts w:ascii="宋体" w:hAnsi="Courier New" w:cs="Courier New"/>
      <w:szCs w:val="21"/>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39"/>
  </w:style>
  <w:style w:type="paragraph" w:styleId="13">
    <w:name w:val="Normal (Web)"/>
    <w:basedOn w:val="1"/>
    <w:qFormat/>
    <w:uiPriority w:val="0"/>
    <w:rPr>
      <w:sz w:val="24"/>
    </w:rPr>
  </w:style>
  <w:style w:type="paragraph" w:styleId="14">
    <w:name w:val="Body Text First Indent"/>
    <w:basedOn w:val="7"/>
    <w:next w:val="1"/>
    <w:qFormat/>
    <w:uiPriority w:val="0"/>
    <w:pPr>
      <w:spacing w:after="120" w:line="240" w:lineRule="auto"/>
      <w:ind w:firstLine="420" w:firstLineChars="100"/>
    </w:pPr>
    <w:rPr>
      <w:sz w:val="21"/>
    </w:rPr>
  </w:style>
  <w:style w:type="character" w:styleId="17">
    <w:name w:val="page number"/>
    <w:qFormat/>
    <w:uiPriority w:val="0"/>
  </w:style>
  <w:style w:type="character" w:styleId="18">
    <w:name w:val="Hyperlink"/>
    <w:qFormat/>
    <w:uiPriority w:val="99"/>
    <w:rPr>
      <w:color w:val="0000FF"/>
      <w:u w:val="single"/>
    </w:rPr>
  </w:style>
  <w:style w:type="paragraph" w:customStyle="1" w:styleId="19">
    <w:name w:val="1"/>
    <w:basedOn w:val="1"/>
    <w:next w:val="9"/>
    <w:qFormat/>
    <w:uiPriority w:val="0"/>
    <w:rPr>
      <w:rFonts w:ascii="宋体" w:hAnsi="Courier New"/>
      <w:szCs w:val="20"/>
    </w:rPr>
  </w:style>
  <w:style w:type="paragraph" w:styleId="20">
    <w:name w:val="List Paragraph"/>
    <w:basedOn w:val="1"/>
    <w:qFormat/>
    <w:uiPriority w:val="0"/>
    <w:pPr>
      <w:ind w:firstLine="420" w:firstLineChars="200"/>
    </w:pPr>
  </w:style>
  <w:style w:type="paragraph" w:customStyle="1" w:styleId="21">
    <w:name w:val="标书-正文"/>
    <w:basedOn w:val="1"/>
    <w:qFormat/>
    <w:uiPriority w:val="0"/>
    <w:pPr>
      <w:spacing w:line="360" w:lineRule="auto"/>
      <w:ind w:firstLine="480" w:firstLineChars="200"/>
    </w:pPr>
    <w:rPr>
      <w:rFonts w:ascii="Calibri" w:hAnsi="Calibri"/>
      <w:kern w:val="0"/>
      <w:sz w:val="24"/>
      <w:szCs w:val="20"/>
    </w:rPr>
  </w:style>
  <w:style w:type="paragraph" w:customStyle="1" w:styleId="22">
    <w:name w:val="纯文本1"/>
    <w:basedOn w:val="1"/>
    <w:qFormat/>
    <w:uiPriority w:val="0"/>
    <w:rPr>
      <w:rFonts w:ascii="宋体" w:hAnsi="宋体"/>
      <w:kern w:val="0"/>
      <w:sz w:val="2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Organization</Company>
  <Pages>33</Pages>
  <Words>13680</Words>
  <Characters>14685</Characters>
  <Lines>115</Lines>
  <Paragraphs>32</Paragraphs>
  <TotalTime>2</TotalTime>
  <ScaleCrop>false</ScaleCrop>
  <LinksUpToDate>false</LinksUpToDate>
  <CharactersWithSpaces>15651</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2024-12-06T07:29:00Z</dcterms:created>
  <dc:creator>U</dc:creator>
  <cp:lastModifiedBy>颜小小</cp:lastModifiedBy>
  <dcterms:modified xsi:type="dcterms:W3CDTF">2026-08-25T19:03:58Z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CBA2E0B71A674A0EA0185388526C7461_13</vt:lpwstr>
  </property>
  <property fmtid="{D5CDD505-2E9C-101B-9397-08002B2CF9AE}" pid="4" name="KSOTemplateDocerSaveRecord">
    <vt:lpwstr>eyJoZGlkIjoiYzU2YTNmMzMyZjY5ZGQyMGRmY2JkYTViYmVjNWNlM2EiLCJ1c2VySWQiOiIzNTQwNDkzNjgifQ==</vt:lpwstr>
  </property>
</Properties>
</file>